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3" w:rsidRPr="00EE2715" w:rsidRDefault="00894DC3" w:rsidP="00DB4F7B">
      <w:pPr>
        <w:spacing w:after="100"/>
        <w:jc w:val="center"/>
        <w:rPr>
          <w:rFonts w:ascii="Times" w:hAnsi="Times"/>
          <w:b/>
          <w:sz w:val="28"/>
          <w:szCs w:val="28"/>
        </w:rPr>
      </w:pPr>
      <w:r w:rsidRPr="00EE2715">
        <w:rPr>
          <w:rFonts w:ascii="Times" w:hAnsi="Times"/>
          <w:b/>
          <w:sz w:val="28"/>
          <w:szCs w:val="28"/>
        </w:rPr>
        <w:t>Quality Enhancement Plan</w:t>
      </w:r>
    </w:p>
    <w:p w:rsidR="001A1B5D" w:rsidRPr="00EE2715" w:rsidRDefault="00894DC3" w:rsidP="00EE2715">
      <w:pPr>
        <w:spacing w:after="100"/>
        <w:jc w:val="center"/>
        <w:rPr>
          <w:rFonts w:ascii="Times" w:hAnsi="Times"/>
          <w:b/>
          <w:sz w:val="32"/>
          <w:szCs w:val="32"/>
        </w:rPr>
      </w:pPr>
      <w:r w:rsidRPr="00EE2715">
        <w:rPr>
          <w:rFonts w:ascii="Times" w:hAnsi="Times"/>
          <w:b/>
          <w:sz w:val="28"/>
          <w:szCs w:val="28"/>
        </w:rPr>
        <w:t>Mathematics Clinic</w:t>
      </w:r>
      <w:r w:rsidR="00E10F02" w:rsidRPr="00EE2715">
        <w:rPr>
          <w:rFonts w:ascii="Times" w:hAnsi="Times"/>
          <w:b/>
          <w:sz w:val="28"/>
          <w:szCs w:val="28"/>
        </w:rPr>
        <w:t xml:space="preserve"> &amp; Technology in Teaching Mathematics</w:t>
      </w:r>
    </w:p>
    <w:p w:rsidR="00C9635B" w:rsidRPr="00EE2715" w:rsidRDefault="00736127" w:rsidP="001513CF">
      <w:pPr>
        <w:jc w:val="both"/>
        <w:rPr>
          <w:rFonts w:ascii="Times" w:hAnsi="Times"/>
          <w:sz w:val="24"/>
          <w:szCs w:val="24"/>
        </w:rPr>
      </w:pPr>
      <w:r w:rsidRPr="00EE2715">
        <w:rPr>
          <w:rFonts w:ascii="Times" w:hAnsi="Times"/>
          <w:i/>
          <w:sz w:val="24"/>
          <w:szCs w:val="24"/>
        </w:rPr>
        <w:t xml:space="preserve">The </w:t>
      </w:r>
      <w:r w:rsidR="00C35103" w:rsidRPr="00EE2715">
        <w:rPr>
          <w:rFonts w:ascii="Times" w:hAnsi="Times"/>
          <w:i/>
          <w:sz w:val="24"/>
          <w:szCs w:val="24"/>
        </w:rPr>
        <w:t>Mathematics Clinic</w:t>
      </w:r>
      <w:r w:rsidRPr="00EE2715">
        <w:rPr>
          <w:rFonts w:ascii="Times" w:hAnsi="Times"/>
          <w:sz w:val="24"/>
          <w:szCs w:val="24"/>
        </w:rPr>
        <w:t xml:space="preserve"> and </w:t>
      </w:r>
      <w:r w:rsidRPr="00EE2715">
        <w:rPr>
          <w:rFonts w:ascii="Times" w:hAnsi="Times"/>
          <w:i/>
          <w:sz w:val="24"/>
          <w:szCs w:val="24"/>
        </w:rPr>
        <w:t>Technology in Teaching Mathematics</w:t>
      </w:r>
      <w:r w:rsidR="00C9635B" w:rsidRPr="00EE2715">
        <w:rPr>
          <w:rFonts w:ascii="Times" w:hAnsi="Times"/>
          <w:i/>
          <w:sz w:val="24"/>
          <w:szCs w:val="24"/>
        </w:rPr>
        <w:t xml:space="preserve"> </w:t>
      </w:r>
      <w:r w:rsidR="00C9635B" w:rsidRPr="00EE2715">
        <w:rPr>
          <w:rFonts w:ascii="Times" w:hAnsi="Times"/>
          <w:sz w:val="24"/>
          <w:szCs w:val="24"/>
        </w:rPr>
        <w:t xml:space="preserve">initiatives were successfully </w:t>
      </w:r>
      <w:r w:rsidR="005135F2">
        <w:rPr>
          <w:rFonts w:ascii="Times" w:hAnsi="Times"/>
          <w:sz w:val="24"/>
          <w:szCs w:val="24"/>
        </w:rPr>
        <w:t xml:space="preserve">continued </w:t>
      </w:r>
      <w:r w:rsidR="00144008" w:rsidRPr="005C3FF2">
        <w:rPr>
          <w:rFonts w:ascii="Times" w:hAnsi="Times"/>
          <w:sz w:val="24"/>
          <w:szCs w:val="24"/>
        </w:rPr>
        <w:t>during the academic year 201</w:t>
      </w:r>
      <w:r w:rsidR="005135F2">
        <w:rPr>
          <w:rFonts w:ascii="Times" w:hAnsi="Times"/>
          <w:sz w:val="24"/>
          <w:szCs w:val="24"/>
        </w:rPr>
        <w:t>1</w:t>
      </w:r>
      <w:r w:rsidR="00144008" w:rsidRPr="005C3FF2">
        <w:rPr>
          <w:rFonts w:ascii="Times" w:hAnsi="Times"/>
          <w:sz w:val="24"/>
          <w:szCs w:val="24"/>
        </w:rPr>
        <w:t>-1</w:t>
      </w:r>
      <w:r w:rsidR="005135F2">
        <w:rPr>
          <w:rFonts w:ascii="Times" w:hAnsi="Times"/>
          <w:sz w:val="24"/>
          <w:szCs w:val="24"/>
        </w:rPr>
        <w:t>2</w:t>
      </w:r>
      <w:r w:rsidR="00C35103" w:rsidRPr="00EE2715">
        <w:rPr>
          <w:rFonts w:ascii="Times" w:hAnsi="Times"/>
          <w:sz w:val="24"/>
          <w:szCs w:val="24"/>
        </w:rPr>
        <w:t>.</w:t>
      </w:r>
      <w:r w:rsidR="00DB4F7B" w:rsidRPr="00EE2715">
        <w:rPr>
          <w:rFonts w:ascii="Times" w:hAnsi="Times"/>
          <w:sz w:val="24"/>
          <w:szCs w:val="24"/>
        </w:rPr>
        <w:t xml:space="preserve">  </w:t>
      </w:r>
      <w:r w:rsidR="00C9635B" w:rsidRPr="00EE2715">
        <w:rPr>
          <w:rFonts w:ascii="Times" w:hAnsi="Times"/>
          <w:sz w:val="24"/>
          <w:szCs w:val="24"/>
        </w:rPr>
        <w:t>Grambling State University</w:t>
      </w:r>
      <w:r w:rsidR="00DB4F7B" w:rsidRPr="00EE2715">
        <w:rPr>
          <w:rFonts w:ascii="Times" w:hAnsi="Times"/>
          <w:sz w:val="24"/>
          <w:szCs w:val="24"/>
        </w:rPr>
        <w:t xml:space="preserve"> </w:t>
      </w:r>
      <w:r w:rsidR="00C9635B" w:rsidRPr="00EE2715">
        <w:rPr>
          <w:rFonts w:ascii="Times" w:hAnsi="Times"/>
          <w:sz w:val="24"/>
          <w:szCs w:val="24"/>
        </w:rPr>
        <w:t>developed these initiatives</w:t>
      </w:r>
      <w:r w:rsidR="00DB4F7B" w:rsidRPr="00EE2715">
        <w:rPr>
          <w:rFonts w:ascii="Times" w:hAnsi="Times"/>
          <w:sz w:val="24"/>
          <w:szCs w:val="24"/>
        </w:rPr>
        <w:t xml:space="preserve"> to</w:t>
      </w:r>
      <w:r w:rsidR="00C9635B" w:rsidRPr="00EE2715">
        <w:rPr>
          <w:rFonts w:ascii="Times" w:hAnsi="Times"/>
          <w:sz w:val="24"/>
          <w:szCs w:val="24"/>
        </w:rPr>
        <w:t xml:space="preserve"> specifically</w:t>
      </w:r>
      <w:r w:rsidR="00DB4F7B" w:rsidRPr="00EE2715">
        <w:rPr>
          <w:rFonts w:ascii="Times" w:hAnsi="Times"/>
          <w:sz w:val="24"/>
          <w:szCs w:val="24"/>
        </w:rPr>
        <w:t xml:space="preserve"> improve student performance in Pre-Calculus I and Pre-Calculus II</w:t>
      </w:r>
      <w:r w:rsidR="00144008">
        <w:rPr>
          <w:rFonts w:ascii="Times" w:hAnsi="Times"/>
          <w:sz w:val="24"/>
          <w:szCs w:val="24"/>
        </w:rPr>
        <w:t xml:space="preserve"> </w:t>
      </w:r>
      <w:r w:rsidR="00144008" w:rsidRPr="005C3FF2">
        <w:rPr>
          <w:rFonts w:ascii="Times" w:hAnsi="Times"/>
          <w:sz w:val="24"/>
          <w:szCs w:val="24"/>
        </w:rPr>
        <w:t>(General Education mathematics courses)</w:t>
      </w:r>
      <w:r w:rsidR="00DB4F7B" w:rsidRPr="00EE2715">
        <w:rPr>
          <w:rFonts w:ascii="Times" w:hAnsi="Times"/>
          <w:sz w:val="24"/>
          <w:szCs w:val="24"/>
        </w:rPr>
        <w:t xml:space="preserve"> and</w:t>
      </w:r>
      <w:r w:rsidR="00C9635B" w:rsidRPr="00EE2715">
        <w:rPr>
          <w:rFonts w:ascii="Times" w:hAnsi="Times"/>
          <w:sz w:val="24"/>
          <w:szCs w:val="24"/>
        </w:rPr>
        <w:t xml:space="preserve"> to improve mathematical skills, comprehension and interdisciplinary application of math on a global level throughout the undergraduate population. </w:t>
      </w:r>
      <w:r w:rsidR="00DB4F7B" w:rsidRPr="00EE2715">
        <w:rPr>
          <w:rFonts w:ascii="Times" w:hAnsi="Times"/>
          <w:sz w:val="24"/>
          <w:szCs w:val="24"/>
        </w:rPr>
        <w:t xml:space="preserve"> </w:t>
      </w:r>
    </w:p>
    <w:p w:rsidR="00B70F24" w:rsidRPr="00EE2715" w:rsidRDefault="00C35103" w:rsidP="001513CF">
      <w:pPr>
        <w:jc w:val="both"/>
        <w:rPr>
          <w:rFonts w:ascii="Times" w:hAnsi="Times"/>
          <w:sz w:val="24"/>
          <w:szCs w:val="24"/>
        </w:rPr>
      </w:pPr>
      <w:r w:rsidRPr="00EE2715">
        <w:rPr>
          <w:rFonts w:ascii="Times" w:hAnsi="Times"/>
          <w:sz w:val="24"/>
          <w:szCs w:val="24"/>
        </w:rPr>
        <w:t xml:space="preserve">The </w:t>
      </w:r>
      <w:r w:rsidR="00894DC3" w:rsidRPr="00EE2715">
        <w:rPr>
          <w:rFonts w:ascii="Times" w:hAnsi="Times"/>
          <w:i/>
          <w:sz w:val="24"/>
          <w:szCs w:val="24"/>
        </w:rPr>
        <w:t>M</w:t>
      </w:r>
      <w:r w:rsidRPr="00EE2715">
        <w:rPr>
          <w:rFonts w:ascii="Times" w:hAnsi="Times"/>
          <w:i/>
          <w:sz w:val="24"/>
          <w:szCs w:val="24"/>
        </w:rPr>
        <w:t xml:space="preserve">athematics </w:t>
      </w:r>
      <w:r w:rsidR="00894DC3" w:rsidRPr="00EE2715">
        <w:rPr>
          <w:rFonts w:ascii="Times" w:hAnsi="Times"/>
          <w:i/>
          <w:sz w:val="24"/>
          <w:szCs w:val="24"/>
        </w:rPr>
        <w:t>C</w:t>
      </w:r>
      <w:r w:rsidRPr="00EE2715">
        <w:rPr>
          <w:rFonts w:ascii="Times" w:hAnsi="Times"/>
          <w:i/>
          <w:sz w:val="24"/>
          <w:szCs w:val="24"/>
        </w:rPr>
        <w:t>linic</w:t>
      </w:r>
      <w:r w:rsidR="005C5107" w:rsidRPr="00EE2715">
        <w:rPr>
          <w:rFonts w:ascii="Times" w:hAnsi="Times"/>
          <w:sz w:val="24"/>
          <w:szCs w:val="24"/>
        </w:rPr>
        <w:t xml:space="preserve"> is available specifically</w:t>
      </w:r>
      <w:r w:rsidRPr="00EE2715">
        <w:rPr>
          <w:rFonts w:ascii="Times" w:hAnsi="Times"/>
          <w:sz w:val="24"/>
          <w:szCs w:val="24"/>
        </w:rPr>
        <w:t xml:space="preserve"> to students registered in Pre-calculus I (MATH147) but is open to all students enrolled in mathematics courses.  </w:t>
      </w:r>
      <w:r w:rsidR="00B70F24" w:rsidRPr="00EE2715">
        <w:rPr>
          <w:rFonts w:ascii="Times" w:hAnsi="Times"/>
          <w:sz w:val="24"/>
          <w:szCs w:val="24"/>
        </w:rPr>
        <w:t>T</w:t>
      </w:r>
      <w:r w:rsidRPr="00EE2715">
        <w:rPr>
          <w:rFonts w:ascii="Times" w:hAnsi="Times"/>
          <w:sz w:val="24"/>
          <w:szCs w:val="24"/>
        </w:rPr>
        <w:t xml:space="preserve">he clinic </w:t>
      </w:r>
      <w:r w:rsidR="00E57972">
        <w:rPr>
          <w:rFonts w:ascii="Times" w:hAnsi="Times"/>
          <w:sz w:val="24"/>
          <w:szCs w:val="24"/>
        </w:rPr>
        <w:t>changed its’ hours of operation to</w:t>
      </w:r>
      <w:r w:rsidR="00C9635B" w:rsidRPr="00EE2715">
        <w:rPr>
          <w:rFonts w:ascii="Times" w:hAnsi="Times"/>
          <w:sz w:val="24"/>
          <w:szCs w:val="24"/>
        </w:rPr>
        <w:t xml:space="preserve"> </w:t>
      </w:r>
      <w:r w:rsidRPr="00EE2715">
        <w:rPr>
          <w:rFonts w:ascii="Times" w:hAnsi="Times"/>
          <w:sz w:val="24"/>
          <w:szCs w:val="24"/>
        </w:rPr>
        <w:t xml:space="preserve">Mondays </w:t>
      </w:r>
      <w:r w:rsidR="005135F2">
        <w:rPr>
          <w:rFonts w:ascii="Times" w:hAnsi="Times"/>
          <w:sz w:val="24"/>
          <w:szCs w:val="24"/>
        </w:rPr>
        <w:t>through Thursdays</w:t>
      </w:r>
      <w:r w:rsidRPr="00EE2715">
        <w:rPr>
          <w:rFonts w:ascii="Times" w:hAnsi="Times"/>
          <w:sz w:val="24"/>
          <w:szCs w:val="24"/>
        </w:rPr>
        <w:t xml:space="preserve"> from </w:t>
      </w:r>
      <w:r w:rsidR="005135F2">
        <w:rPr>
          <w:rFonts w:ascii="Times" w:hAnsi="Times"/>
          <w:sz w:val="24"/>
          <w:szCs w:val="24"/>
        </w:rPr>
        <w:t>9</w:t>
      </w:r>
      <w:r w:rsidRPr="00EE2715">
        <w:rPr>
          <w:rFonts w:ascii="Times" w:hAnsi="Times"/>
          <w:sz w:val="24"/>
          <w:szCs w:val="24"/>
        </w:rPr>
        <w:t>: 00 a.m. until 4:</w:t>
      </w:r>
      <w:r w:rsidR="005135F2">
        <w:rPr>
          <w:rFonts w:ascii="Times" w:hAnsi="Times"/>
          <w:sz w:val="24"/>
          <w:szCs w:val="24"/>
        </w:rPr>
        <w:t>00</w:t>
      </w:r>
      <w:r w:rsidRPr="00EE2715">
        <w:rPr>
          <w:rFonts w:ascii="Times" w:hAnsi="Times"/>
          <w:sz w:val="24"/>
          <w:szCs w:val="24"/>
        </w:rPr>
        <w:t xml:space="preserve"> p.m.</w:t>
      </w:r>
      <w:r w:rsidR="00894DC3" w:rsidRPr="00EE2715">
        <w:rPr>
          <w:rFonts w:ascii="Times" w:hAnsi="Times"/>
          <w:sz w:val="24"/>
          <w:szCs w:val="24"/>
        </w:rPr>
        <w:t xml:space="preserve"> in </w:t>
      </w:r>
      <w:r w:rsidR="005135F2">
        <w:rPr>
          <w:rFonts w:ascii="Times" w:hAnsi="Times"/>
          <w:sz w:val="24"/>
          <w:szCs w:val="24"/>
        </w:rPr>
        <w:t>A.C. Lewis Library</w:t>
      </w:r>
      <w:r w:rsidR="00894DC3" w:rsidRPr="00EE2715">
        <w:rPr>
          <w:rFonts w:ascii="Times" w:hAnsi="Times"/>
          <w:sz w:val="24"/>
          <w:szCs w:val="24"/>
        </w:rPr>
        <w:t xml:space="preserve">, Room </w:t>
      </w:r>
      <w:r w:rsidR="005135F2">
        <w:rPr>
          <w:rFonts w:ascii="Times" w:hAnsi="Times"/>
          <w:sz w:val="24"/>
          <w:szCs w:val="24"/>
        </w:rPr>
        <w:t>116</w:t>
      </w:r>
      <w:r w:rsidR="00E57972">
        <w:rPr>
          <w:rFonts w:ascii="Times" w:hAnsi="Times"/>
          <w:sz w:val="24"/>
          <w:szCs w:val="24"/>
        </w:rPr>
        <w:t xml:space="preserve">.  This service </w:t>
      </w:r>
      <w:r w:rsidR="00DB4F7B" w:rsidRPr="00EE2715">
        <w:rPr>
          <w:rFonts w:ascii="Times" w:hAnsi="Times"/>
          <w:sz w:val="24"/>
          <w:szCs w:val="24"/>
        </w:rPr>
        <w:t>is</w:t>
      </w:r>
      <w:r w:rsidRPr="00EE2715">
        <w:rPr>
          <w:rFonts w:ascii="Times" w:hAnsi="Times"/>
          <w:sz w:val="24"/>
          <w:szCs w:val="24"/>
        </w:rPr>
        <w:t xml:space="preserve"> facilitated by </w:t>
      </w:r>
      <w:r w:rsidR="0037565F">
        <w:rPr>
          <w:rFonts w:ascii="Times" w:hAnsi="Times"/>
          <w:sz w:val="24"/>
          <w:szCs w:val="24"/>
        </w:rPr>
        <w:t xml:space="preserve">the QEP Office, along with </w:t>
      </w:r>
      <w:r w:rsidR="00356B2F" w:rsidRPr="00EE2715">
        <w:rPr>
          <w:rFonts w:ascii="Times" w:hAnsi="Times"/>
          <w:sz w:val="24"/>
          <w:szCs w:val="24"/>
        </w:rPr>
        <w:t xml:space="preserve">the </w:t>
      </w:r>
      <w:r w:rsidRPr="00EE2715">
        <w:rPr>
          <w:rFonts w:ascii="Times" w:hAnsi="Times"/>
          <w:sz w:val="24"/>
          <w:szCs w:val="24"/>
        </w:rPr>
        <w:t xml:space="preserve">mathematics faculty.  The </w:t>
      </w:r>
      <w:r w:rsidR="005C5107" w:rsidRPr="00EE2715">
        <w:rPr>
          <w:rFonts w:ascii="Times" w:hAnsi="Times"/>
          <w:sz w:val="24"/>
          <w:szCs w:val="24"/>
        </w:rPr>
        <w:t>time required for the clinic is</w:t>
      </w:r>
      <w:r w:rsidRPr="00EE2715">
        <w:rPr>
          <w:rFonts w:ascii="Times" w:hAnsi="Times"/>
          <w:sz w:val="24"/>
          <w:szCs w:val="24"/>
        </w:rPr>
        <w:t xml:space="preserve"> taken from the reg</w:t>
      </w:r>
      <w:r w:rsidRPr="005C3FF2">
        <w:rPr>
          <w:rFonts w:ascii="Times" w:hAnsi="Times"/>
          <w:sz w:val="24"/>
          <w:szCs w:val="24"/>
        </w:rPr>
        <w:t xml:space="preserve">ular office hours of faculty.   </w:t>
      </w:r>
      <w:r w:rsidR="00894DC3" w:rsidRPr="005C3FF2">
        <w:rPr>
          <w:rFonts w:ascii="Times" w:hAnsi="Times"/>
          <w:i/>
          <w:sz w:val="24"/>
          <w:szCs w:val="24"/>
        </w:rPr>
        <w:t>T</w:t>
      </w:r>
      <w:r w:rsidRPr="005C3FF2">
        <w:rPr>
          <w:rFonts w:ascii="Times" w:hAnsi="Times"/>
          <w:i/>
          <w:sz w:val="24"/>
          <w:szCs w:val="24"/>
        </w:rPr>
        <w:t xml:space="preserve">he </w:t>
      </w:r>
      <w:r w:rsidR="00894DC3" w:rsidRPr="005C3FF2">
        <w:rPr>
          <w:rFonts w:ascii="Times" w:hAnsi="Times"/>
          <w:i/>
          <w:sz w:val="24"/>
          <w:szCs w:val="24"/>
        </w:rPr>
        <w:t>M</w:t>
      </w:r>
      <w:r w:rsidRPr="005C3FF2">
        <w:rPr>
          <w:rFonts w:ascii="Times" w:hAnsi="Times"/>
          <w:i/>
          <w:sz w:val="24"/>
          <w:szCs w:val="24"/>
        </w:rPr>
        <w:t xml:space="preserve">athematics </w:t>
      </w:r>
      <w:r w:rsidR="00894DC3" w:rsidRPr="005C3FF2">
        <w:rPr>
          <w:rFonts w:ascii="Times" w:hAnsi="Times"/>
          <w:i/>
          <w:sz w:val="24"/>
          <w:szCs w:val="24"/>
        </w:rPr>
        <w:t>C</w:t>
      </w:r>
      <w:r w:rsidRPr="005C3FF2">
        <w:rPr>
          <w:rFonts w:ascii="Times" w:hAnsi="Times"/>
          <w:i/>
          <w:sz w:val="24"/>
          <w:szCs w:val="24"/>
        </w:rPr>
        <w:t>linic</w:t>
      </w:r>
      <w:r w:rsidRPr="005C3FF2">
        <w:rPr>
          <w:rFonts w:ascii="Times" w:hAnsi="Times"/>
          <w:sz w:val="24"/>
          <w:szCs w:val="24"/>
        </w:rPr>
        <w:t xml:space="preserve"> </w:t>
      </w:r>
      <w:r w:rsidR="00C9635B" w:rsidRPr="005C3FF2">
        <w:rPr>
          <w:rFonts w:ascii="Times" w:hAnsi="Times"/>
          <w:sz w:val="24"/>
          <w:szCs w:val="24"/>
        </w:rPr>
        <w:t>offers</w:t>
      </w:r>
      <w:r w:rsidR="00C9635B" w:rsidRPr="00EE2715">
        <w:rPr>
          <w:rFonts w:ascii="Times" w:hAnsi="Times"/>
          <w:sz w:val="24"/>
          <w:szCs w:val="24"/>
        </w:rPr>
        <w:t xml:space="preserve"> </w:t>
      </w:r>
      <w:r w:rsidR="00144008" w:rsidRPr="005C3FF2">
        <w:rPr>
          <w:rFonts w:ascii="Times" w:hAnsi="Times"/>
          <w:sz w:val="24"/>
          <w:szCs w:val="24"/>
        </w:rPr>
        <w:t>services of several</w:t>
      </w:r>
      <w:r w:rsidR="00144008" w:rsidRPr="00144008">
        <w:rPr>
          <w:rFonts w:ascii="Times" w:hAnsi="Times"/>
          <w:color w:val="FF0000"/>
          <w:sz w:val="24"/>
          <w:szCs w:val="24"/>
        </w:rPr>
        <w:t xml:space="preserve"> </w:t>
      </w:r>
      <w:r w:rsidR="00144008" w:rsidRPr="00EE2715">
        <w:rPr>
          <w:rFonts w:ascii="Times" w:hAnsi="Times"/>
          <w:sz w:val="24"/>
          <w:szCs w:val="24"/>
        </w:rPr>
        <w:t>Mathematics</w:t>
      </w:r>
      <w:r w:rsidR="0009429E" w:rsidRPr="00EE2715">
        <w:rPr>
          <w:rFonts w:ascii="Times" w:hAnsi="Times"/>
          <w:sz w:val="24"/>
          <w:szCs w:val="24"/>
        </w:rPr>
        <w:t xml:space="preserve"> faculty members </w:t>
      </w:r>
      <w:r w:rsidRPr="00EE2715">
        <w:rPr>
          <w:rFonts w:ascii="Times" w:hAnsi="Times"/>
          <w:sz w:val="24"/>
          <w:szCs w:val="24"/>
        </w:rPr>
        <w:t xml:space="preserve">for </w:t>
      </w:r>
      <w:r w:rsidR="005135F2">
        <w:rPr>
          <w:rFonts w:ascii="Times" w:hAnsi="Times"/>
          <w:sz w:val="24"/>
          <w:szCs w:val="24"/>
        </w:rPr>
        <w:t xml:space="preserve">four </w:t>
      </w:r>
      <w:r w:rsidR="004522A1" w:rsidRPr="00EE2715">
        <w:rPr>
          <w:rFonts w:ascii="Times" w:hAnsi="Times"/>
          <w:sz w:val="24"/>
          <w:szCs w:val="24"/>
        </w:rPr>
        <w:t xml:space="preserve">days </w:t>
      </w:r>
      <w:r w:rsidR="00356B2F" w:rsidRPr="00EE2715">
        <w:rPr>
          <w:rFonts w:ascii="Times" w:hAnsi="Times"/>
          <w:sz w:val="24"/>
          <w:szCs w:val="24"/>
        </w:rPr>
        <w:t>per</w:t>
      </w:r>
      <w:r w:rsidRPr="00EE2715">
        <w:rPr>
          <w:rFonts w:ascii="Times" w:hAnsi="Times"/>
          <w:sz w:val="24"/>
          <w:szCs w:val="24"/>
        </w:rPr>
        <w:t xml:space="preserve"> week</w:t>
      </w:r>
      <w:r w:rsidR="00E57972">
        <w:rPr>
          <w:rFonts w:ascii="Times" w:hAnsi="Times"/>
          <w:sz w:val="24"/>
          <w:szCs w:val="24"/>
        </w:rPr>
        <w:t xml:space="preserve"> (an increase of 2 days from Spring 2011</w:t>
      </w:r>
      <w:proofErr w:type="gramStart"/>
      <w:r w:rsidR="00E57972">
        <w:rPr>
          <w:rFonts w:ascii="Times" w:hAnsi="Times"/>
          <w:sz w:val="24"/>
          <w:szCs w:val="24"/>
        </w:rPr>
        <w:t xml:space="preserve">) </w:t>
      </w:r>
      <w:r w:rsidR="00DB4F7B" w:rsidRPr="00EE2715">
        <w:rPr>
          <w:rFonts w:ascii="Times" w:hAnsi="Times"/>
          <w:sz w:val="24"/>
          <w:szCs w:val="24"/>
        </w:rPr>
        <w:t>,</w:t>
      </w:r>
      <w:proofErr w:type="gramEnd"/>
      <w:r w:rsidR="00DB4F7B" w:rsidRPr="00EE2715">
        <w:rPr>
          <w:rFonts w:ascii="Times" w:hAnsi="Times"/>
          <w:sz w:val="24"/>
          <w:szCs w:val="24"/>
        </w:rPr>
        <w:t xml:space="preserve"> </w:t>
      </w:r>
      <w:r w:rsidR="0009429E" w:rsidRPr="00EE2715">
        <w:rPr>
          <w:rFonts w:ascii="Times" w:hAnsi="Times"/>
          <w:sz w:val="24"/>
          <w:szCs w:val="24"/>
        </w:rPr>
        <w:t>which is a distinct advantage to students, who choose to utilize enrichment resources.</w:t>
      </w:r>
      <w:r w:rsidRPr="00EE2715">
        <w:rPr>
          <w:rFonts w:ascii="Times" w:hAnsi="Times"/>
          <w:sz w:val="24"/>
          <w:szCs w:val="24"/>
        </w:rPr>
        <w:t xml:space="preserve"> </w:t>
      </w:r>
    </w:p>
    <w:p w:rsidR="00C96F73" w:rsidRPr="00EE2715" w:rsidRDefault="005135F2" w:rsidP="001513CF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</w:t>
      </w:r>
      <w:r w:rsidR="00736127" w:rsidRPr="00EE2715">
        <w:rPr>
          <w:rFonts w:ascii="Times" w:hAnsi="Times"/>
          <w:sz w:val="24"/>
          <w:szCs w:val="24"/>
        </w:rPr>
        <w:t>tudent partici</w:t>
      </w:r>
      <w:r w:rsidR="005C5107" w:rsidRPr="00EE2715">
        <w:rPr>
          <w:rFonts w:ascii="Times" w:hAnsi="Times"/>
          <w:sz w:val="24"/>
          <w:szCs w:val="24"/>
        </w:rPr>
        <w:t>pation</w:t>
      </w:r>
      <w:r w:rsidR="00736127" w:rsidRPr="00EE2715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increased significantly</w:t>
      </w:r>
      <w:r w:rsidR="00C96F73" w:rsidRPr="00EE2715"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in part due to</w:t>
      </w:r>
      <w:r w:rsidR="00C96F73" w:rsidRPr="00EE2715">
        <w:rPr>
          <w:rFonts w:ascii="Times" w:hAnsi="Times"/>
          <w:sz w:val="24"/>
          <w:szCs w:val="24"/>
        </w:rPr>
        <w:t xml:space="preserve"> a</w:t>
      </w:r>
      <w:r w:rsidR="00003C5C" w:rsidRPr="00EE2715">
        <w:rPr>
          <w:rFonts w:ascii="Times" w:hAnsi="Times"/>
          <w:sz w:val="24"/>
          <w:szCs w:val="24"/>
        </w:rPr>
        <w:t xml:space="preserve"> strategic marketing plan to encourage</w:t>
      </w:r>
      <w:r w:rsidR="005C5107" w:rsidRPr="00EE2715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learning engagement</w:t>
      </w:r>
      <w:r w:rsidR="00003C5C" w:rsidRPr="00EE2715">
        <w:rPr>
          <w:rFonts w:ascii="Times" w:hAnsi="Times"/>
          <w:sz w:val="24"/>
          <w:szCs w:val="24"/>
        </w:rPr>
        <w:t xml:space="preserve"> during the </w:t>
      </w:r>
      <w:proofErr w:type="gramStart"/>
      <w:r w:rsidR="00E57972">
        <w:rPr>
          <w:rFonts w:ascii="Times" w:hAnsi="Times"/>
          <w:sz w:val="24"/>
          <w:szCs w:val="24"/>
        </w:rPr>
        <w:t>Fall</w:t>
      </w:r>
      <w:proofErr w:type="gramEnd"/>
      <w:r w:rsidR="00003C5C" w:rsidRPr="00EE2715">
        <w:rPr>
          <w:rFonts w:ascii="Times" w:hAnsi="Times"/>
          <w:sz w:val="24"/>
          <w:szCs w:val="24"/>
        </w:rPr>
        <w:t xml:space="preserve"> 2011 semester</w:t>
      </w:r>
      <w:r w:rsidR="005C5107" w:rsidRPr="00EE2715">
        <w:rPr>
          <w:rFonts w:ascii="Times" w:hAnsi="Times"/>
          <w:sz w:val="24"/>
          <w:szCs w:val="24"/>
        </w:rPr>
        <w:t>.  It include</w:t>
      </w:r>
      <w:r w:rsidR="0009429E" w:rsidRPr="00EE2715">
        <w:rPr>
          <w:rFonts w:ascii="Times" w:hAnsi="Times"/>
          <w:sz w:val="24"/>
          <w:szCs w:val="24"/>
        </w:rPr>
        <w:t>d</w:t>
      </w:r>
      <w:r w:rsidR="00003C5C" w:rsidRPr="00EE2715">
        <w:rPr>
          <w:rFonts w:ascii="Times" w:hAnsi="Times"/>
          <w:sz w:val="24"/>
          <w:szCs w:val="24"/>
        </w:rPr>
        <w:t xml:space="preserve"> Public Service Announcement</w:t>
      </w:r>
      <w:r w:rsidR="005C5107" w:rsidRPr="00EE2715">
        <w:rPr>
          <w:rFonts w:ascii="Times" w:hAnsi="Times"/>
          <w:sz w:val="24"/>
          <w:szCs w:val="24"/>
        </w:rPr>
        <w:t>s (PSA’s) on KGRM (Grambling’s radio s</w:t>
      </w:r>
      <w:r w:rsidR="00C96F73" w:rsidRPr="00EE2715">
        <w:rPr>
          <w:rFonts w:ascii="Times" w:hAnsi="Times"/>
          <w:sz w:val="24"/>
          <w:szCs w:val="24"/>
        </w:rPr>
        <w:t>tation),</w:t>
      </w:r>
      <w:r w:rsidR="00003C5C" w:rsidRPr="00EE2715">
        <w:rPr>
          <w:rFonts w:ascii="Times" w:hAnsi="Times"/>
          <w:sz w:val="24"/>
          <w:szCs w:val="24"/>
        </w:rPr>
        <w:t xml:space="preserve"> at sporting events on campus</w:t>
      </w:r>
      <w:r w:rsidR="00C96F73" w:rsidRPr="00EE2715">
        <w:rPr>
          <w:rFonts w:ascii="Times" w:hAnsi="Times"/>
          <w:sz w:val="24"/>
          <w:szCs w:val="24"/>
        </w:rPr>
        <w:t xml:space="preserve">, </w:t>
      </w:r>
      <w:r w:rsidR="00144008" w:rsidRPr="005C3FF2">
        <w:rPr>
          <w:rFonts w:ascii="Times" w:hAnsi="Times"/>
          <w:sz w:val="24"/>
          <w:szCs w:val="24"/>
        </w:rPr>
        <w:t>advertisement</w:t>
      </w:r>
      <w:r w:rsidR="00003C5C" w:rsidRPr="00EE2715">
        <w:rPr>
          <w:rFonts w:ascii="Times" w:hAnsi="Times"/>
          <w:sz w:val="24"/>
          <w:szCs w:val="24"/>
        </w:rPr>
        <w:t xml:space="preserve"> on the electronic information boards across </w:t>
      </w:r>
      <w:r w:rsidR="00C96F73" w:rsidRPr="00EE2715">
        <w:rPr>
          <w:rFonts w:ascii="Times" w:hAnsi="Times"/>
          <w:sz w:val="24"/>
          <w:szCs w:val="24"/>
        </w:rPr>
        <w:t>campus</w:t>
      </w:r>
      <w:r w:rsidR="00144008">
        <w:rPr>
          <w:rFonts w:ascii="Times" w:hAnsi="Times"/>
          <w:sz w:val="24"/>
          <w:szCs w:val="24"/>
        </w:rPr>
        <w:t xml:space="preserve">, </w:t>
      </w:r>
      <w:r w:rsidR="00144008" w:rsidRPr="005C3FF2">
        <w:rPr>
          <w:rFonts w:ascii="Times" w:hAnsi="Times"/>
          <w:sz w:val="24"/>
          <w:szCs w:val="24"/>
        </w:rPr>
        <w:t>and announcement in all the sections of pre-calculus classes</w:t>
      </w:r>
      <w:r w:rsidR="00C96F73" w:rsidRPr="00EE2715">
        <w:rPr>
          <w:rFonts w:ascii="Times" w:hAnsi="Times"/>
          <w:sz w:val="24"/>
          <w:szCs w:val="24"/>
        </w:rPr>
        <w:t xml:space="preserve">.  </w:t>
      </w:r>
      <w:r w:rsidR="0009429E" w:rsidRPr="00EE2715">
        <w:rPr>
          <w:rFonts w:ascii="Times" w:hAnsi="Times"/>
          <w:sz w:val="24"/>
          <w:szCs w:val="24"/>
        </w:rPr>
        <w:t>Additionally</w:t>
      </w:r>
      <w:r w:rsidR="00C96F73" w:rsidRPr="00EE2715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 xml:space="preserve">global </w:t>
      </w:r>
      <w:r w:rsidR="00C96F73" w:rsidRPr="00EE2715">
        <w:rPr>
          <w:rFonts w:ascii="Times" w:hAnsi="Times"/>
          <w:sz w:val="24"/>
          <w:szCs w:val="24"/>
        </w:rPr>
        <w:t>e-mails</w:t>
      </w:r>
      <w:r w:rsidR="005C5107" w:rsidRPr="00EE2715">
        <w:rPr>
          <w:rFonts w:ascii="Times" w:hAnsi="Times"/>
          <w:sz w:val="24"/>
          <w:szCs w:val="24"/>
        </w:rPr>
        <w:t xml:space="preserve"> </w:t>
      </w:r>
      <w:r w:rsidR="0009429E" w:rsidRPr="00EE2715">
        <w:rPr>
          <w:rFonts w:ascii="Times" w:hAnsi="Times"/>
          <w:sz w:val="24"/>
          <w:szCs w:val="24"/>
        </w:rPr>
        <w:t xml:space="preserve">were </w:t>
      </w:r>
      <w:r w:rsidR="00003C5C" w:rsidRPr="00EE2715">
        <w:rPr>
          <w:rFonts w:ascii="Times" w:hAnsi="Times"/>
          <w:sz w:val="24"/>
          <w:szCs w:val="24"/>
        </w:rPr>
        <w:t>sent to all students and fa</w:t>
      </w:r>
      <w:r w:rsidR="005C5107" w:rsidRPr="00EE2715">
        <w:rPr>
          <w:rFonts w:ascii="Times" w:hAnsi="Times"/>
          <w:sz w:val="24"/>
          <w:szCs w:val="24"/>
        </w:rPr>
        <w:t>culty</w:t>
      </w:r>
      <w:r w:rsidR="00003C5C" w:rsidRPr="00EE2715">
        <w:rPr>
          <w:rFonts w:ascii="Times" w:hAnsi="Times"/>
          <w:sz w:val="24"/>
          <w:szCs w:val="24"/>
        </w:rPr>
        <w:t>.</w:t>
      </w:r>
      <w:r w:rsidR="00736127" w:rsidRPr="00EE2715">
        <w:rPr>
          <w:rFonts w:ascii="Times" w:hAnsi="Times"/>
          <w:sz w:val="24"/>
          <w:szCs w:val="24"/>
        </w:rPr>
        <w:t xml:space="preserve">  </w:t>
      </w:r>
    </w:p>
    <w:p w:rsidR="00B70F24" w:rsidRPr="00EE2715" w:rsidRDefault="005135F2" w:rsidP="001513CF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  <w:r w:rsidR="00736127" w:rsidRPr="00EE2715">
        <w:rPr>
          <w:rFonts w:ascii="Times" w:hAnsi="Times"/>
          <w:sz w:val="24"/>
          <w:szCs w:val="24"/>
        </w:rPr>
        <w:t xml:space="preserve">ata </w:t>
      </w:r>
      <w:r w:rsidR="0009429E" w:rsidRPr="00EE2715">
        <w:rPr>
          <w:rFonts w:ascii="Times" w:hAnsi="Times"/>
          <w:sz w:val="24"/>
          <w:szCs w:val="24"/>
        </w:rPr>
        <w:t>illustrates</w:t>
      </w:r>
      <w:r w:rsidR="005C5107" w:rsidRPr="00EE2715">
        <w:rPr>
          <w:rFonts w:ascii="Times" w:hAnsi="Times"/>
          <w:sz w:val="24"/>
          <w:szCs w:val="24"/>
        </w:rPr>
        <w:t>,</w:t>
      </w:r>
      <w:r w:rsidR="00736127" w:rsidRPr="00EE2715">
        <w:rPr>
          <w:rFonts w:ascii="Times" w:hAnsi="Times"/>
          <w:sz w:val="24"/>
          <w:szCs w:val="24"/>
        </w:rPr>
        <w:t xml:space="preserve"> on average</w:t>
      </w:r>
      <w:r w:rsidR="00DB4F7B" w:rsidRPr="00EE2715">
        <w:rPr>
          <w:rFonts w:ascii="Times" w:hAnsi="Times"/>
          <w:sz w:val="24"/>
          <w:szCs w:val="24"/>
        </w:rPr>
        <w:t>,</w:t>
      </w:r>
      <w:r w:rsidR="00736127" w:rsidRPr="00EE2715">
        <w:rPr>
          <w:rFonts w:ascii="Times" w:hAnsi="Times"/>
          <w:sz w:val="24"/>
          <w:szCs w:val="24"/>
        </w:rPr>
        <w:t xml:space="preserve"> those who participated</w:t>
      </w:r>
      <w:r w:rsidR="0009429E" w:rsidRPr="00EE2715">
        <w:rPr>
          <w:rFonts w:ascii="Times" w:hAnsi="Times"/>
          <w:sz w:val="24"/>
          <w:szCs w:val="24"/>
        </w:rPr>
        <w:t xml:space="preserve"> in </w:t>
      </w:r>
      <w:r w:rsidR="0009429E" w:rsidRPr="00EE2715">
        <w:rPr>
          <w:rFonts w:ascii="Times" w:hAnsi="Times"/>
          <w:i/>
          <w:sz w:val="24"/>
          <w:szCs w:val="24"/>
        </w:rPr>
        <w:t>The Mathematics Clinic</w:t>
      </w:r>
      <w:r w:rsidR="00736127" w:rsidRPr="00EE2715">
        <w:rPr>
          <w:rFonts w:ascii="Times" w:hAnsi="Times"/>
          <w:sz w:val="24"/>
          <w:szCs w:val="24"/>
        </w:rPr>
        <w:t xml:space="preserve"> performed b</w:t>
      </w:r>
      <w:r w:rsidR="00C96F73" w:rsidRPr="00EE2715">
        <w:rPr>
          <w:rFonts w:ascii="Times" w:hAnsi="Times"/>
          <w:sz w:val="24"/>
          <w:szCs w:val="24"/>
        </w:rPr>
        <w:t>etter than those who did not</w:t>
      </w:r>
      <w:r w:rsidR="0009429E" w:rsidRPr="00EE2715">
        <w:rPr>
          <w:rFonts w:ascii="Times" w:hAnsi="Times"/>
          <w:sz w:val="24"/>
          <w:szCs w:val="24"/>
        </w:rPr>
        <w:t xml:space="preserve"> participate</w:t>
      </w:r>
      <w:r w:rsidR="00C96F73" w:rsidRPr="00EE2715">
        <w:rPr>
          <w:rFonts w:ascii="Times" w:hAnsi="Times"/>
          <w:sz w:val="24"/>
          <w:szCs w:val="24"/>
        </w:rPr>
        <w:t xml:space="preserve">. </w:t>
      </w:r>
      <w:r w:rsidR="00AA3705" w:rsidRPr="00EE2715">
        <w:rPr>
          <w:rFonts w:ascii="Times" w:hAnsi="Times"/>
          <w:sz w:val="24"/>
          <w:szCs w:val="24"/>
        </w:rPr>
        <w:t xml:space="preserve"> </w:t>
      </w:r>
      <w:r w:rsidR="00E10F02" w:rsidRPr="00EE2715">
        <w:rPr>
          <w:rFonts w:ascii="Times" w:hAnsi="Times"/>
          <w:sz w:val="24"/>
          <w:szCs w:val="24"/>
        </w:rPr>
        <w:t xml:space="preserve">During the </w:t>
      </w:r>
      <w:proofErr w:type="gramStart"/>
      <w:r>
        <w:rPr>
          <w:rFonts w:ascii="Times" w:hAnsi="Times"/>
          <w:sz w:val="24"/>
          <w:szCs w:val="24"/>
        </w:rPr>
        <w:t>Fall</w:t>
      </w:r>
      <w:proofErr w:type="gramEnd"/>
      <w:r w:rsidR="0009429E" w:rsidRPr="00EE2715">
        <w:rPr>
          <w:rFonts w:ascii="Times" w:hAnsi="Times"/>
          <w:sz w:val="24"/>
          <w:szCs w:val="24"/>
        </w:rPr>
        <w:t xml:space="preserve"> 2011</w:t>
      </w:r>
      <w:r w:rsidR="00E10F02" w:rsidRPr="00EE2715">
        <w:rPr>
          <w:rFonts w:ascii="Times" w:hAnsi="Times"/>
          <w:sz w:val="24"/>
          <w:szCs w:val="24"/>
        </w:rPr>
        <w:t xml:space="preserve"> </w:t>
      </w:r>
      <w:r w:rsidR="00F76A42">
        <w:rPr>
          <w:rFonts w:ascii="Times" w:hAnsi="Times"/>
          <w:sz w:val="24"/>
          <w:szCs w:val="24"/>
        </w:rPr>
        <w:t>s</w:t>
      </w:r>
      <w:r w:rsidR="00E10F02" w:rsidRPr="00EE2715">
        <w:rPr>
          <w:rFonts w:ascii="Times" w:hAnsi="Times"/>
          <w:sz w:val="24"/>
          <w:szCs w:val="24"/>
        </w:rPr>
        <w:t>emester</w:t>
      </w:r>
      <w:r w:rsidR="00F76A42">
        <w:rPr>
          <w:rFonts w:ascii="Times" w:hAnsi="Times"/>
          <w:sz w:val="24"/>
          <w:szCs w:val="24"/>
        </w:rPr>
        <w:t>,</w:t>
      </w:r>
      <w:r w:rsidR="00E10F02" w:rsidRPr="00EE2715">
        <w:rPr>
          <w:rFonts w:ascii="Times" w:hAnsi="Times"/>
          <w:sz w:val="24"/>
          <w:szCs w:val="24"/>
        </w:rPr>
        <w:t xml:space="preserve"> </w:t>
      </w:r>
      <w:r w:rsidR="00F76A42">
        <w:rPr>
          <w:rFonts w:ascii="Times" w:hAnsi="Times"/>
          <w:sz w:val="24"/>
          <w:szCs w:val="24"/>
        </w:rPr>
        <w:t>48</w:t>
      </w:r>
      <w:r w:rsidR="005C5107" w:rsidRPr="00EE2715">
        <w:rPr>
          <w:rFonts w:ascii="Times" w:hAnsi="Times"/>
          <w:sz w:val="24"/>
          <w:szCs w:val="24"/>
        </w:rPr>
        <w:t xml:space="preserve"> P</w:t>
      </w:r>
      <w:r w:rsidR="00E10F02" w:rsidRPr="00EE2715">
        <w:rPr>
          <w:rFonts w:ascii="Times" w:hAnsi="Times"/>
          <w:sz w:val="24"/>
          <w:szCs w:val="24"/>
        </w:rPr>
        <w:t>re-calcu</w:t>
      </w:r>
      <w:r w:rsidR="005C5107" w:rsidRPr="00EE2715">
        <w:rPr>
          <w:rFonts w:ascii="Times" w:hAnsi="Times"/>
          <w:sz w:val="24"/>
          <w:szCs w:val="24"/>
        </w:rPr>
        <w:t xml:space="preserve">lus I students participated in </w:t>
      </w:r>
      <w:r w:rsidR="005C5107" w:rsidRPr="00EE2715">
        <w:rPr>
          <w:rFonts w:ascii="Times" w:hAnsi="Times"/>
          <w:i/>
          <w:sz w:val="24"/>
          <w:szCs w:val="24"/>
        </w:rPr>
        <w:t>T</w:t>
      </w:r>
      <w:r w:rsidR="00E10F02" w:rsidRPr="00EE2715">
        <w:rPr>
          <w:rFonts w:ascii="Times" w:hAnsi="Times"/>
          <w:i/>
          <w:sz w:val="24"/>
          <w:szCs w:val="24"/>
        </w:rPr>
        <w:t>he Mathematics Clinic</w:t>
      </w:r>
      <w:r w:rsidR="00B70F24" w:rsidRPr="00EE2715">
        <w:rPr>
          <w:rFonts w:ascii="Times" w:hAnsi="Times"/>
          <w:sz w:val="24"/>
          <w:szCs w:val="24"/>
        </w:rPr>
        <w:t xml:space="preserve">.  </w:t>
      </w:r>
      <w:r w:rsidR="007C5E04" w:rsidRPr="00EE2715">
        <w:rPr>
          <w:rFonts w:ascii="Times" w:hAnsi="Times"/>
          <w:sz w:val="24"/>
          <w:szCs w:val="24"/>
        </w:rPr>
        <w:t>The average grade-point-average in MATH</w:t>
      </w:r>
      <w:r w:rsidR="005C5107" w:rsidRPr="00EE2715">
        <w:rPr>
          <w:rFonts w:ascii="Times" w:hAnsi="Times"/>
          <w:sz w:val="24"/>
          <w:szCs w:val="24"/>
        </w:rPr>
        <w:t xml:space="preserve"> </w:t>
      </w:r>
      <w:r w:rsidR="007C5E04" w:rsidRPr="00EE2715">
        <w:rPr>
          <w:rFonts w:ascii="Times" w:hAnsi="Times"/>
          <w:sz w:val="24"/>
          <w:szCs w:val="24"/>
        </w:rPr>
        <w:t>147 fo</w:t>
      </w:r>
      <w:r w:rsidR="005C5107" w:rsidRPr="00EE2715">
        <w:rPr>
          <w:rFonts w:ascii="Times" w:hAnsi="Times"/>
          <w:sz w:val="24"/>
          <w:szCs w:val="24"/>
        </w:rPr>
        <w:t xml:space="preserve">r the students who participated </w:t>
      </w:r>
      <w:r w:rsidR="00D21323" w:rsidRPr="00EE2715">
        <w:rPr>
          <w:rFonts w:ascii="Times" w:hAnsi="Times"/>
          <w:sz w:val="24"/>
          <w:szCs w:val="24"/>
        </w:rPr>
        <w:t xml:space="preserve">was </w:t>
      </w:r>
      <w:r>
        <w:rPr>
          <w:rFonts w:ascii="Times" w:hAnsi="Times"/>
          <w:sz w:val="24"/>
          <w:szCs w:val="24"/>
        </w:rPr>
        <w:t>3.</w:t>
      </w:r>
      <w:r w:rsidR="00F76A42">
        <w:rPr>
          <w:rFonts w:ascii="Times" w:hAnsi="Times"/>
          <w:sz w:val="24"/>
          <w:szCs w:val="24"/>
        </w:rPr>
        <w:t>10</w:t>
      </w:r>
      <w:r w:rsidR="007C5E04" w:rsidRPr="00EE2715">
        <w:rPr>
          <w:rFonts w:ascii="Times" w:hAnsi="Times"/>
          <w:sz w:val="24"/>
          <w:szCs w:val="24"/>
        </w:rPr>
        <w:t>,</w:t>
      </w:r>
      <w:r w:rsidR="005C5107" w:rsidRPr="00EE2715">
        <w:rPr>
          <w:rFonts w:ascii="Times" w:hAnsi="Times"/>
          <w:sz w:val="24"/>
          <w:szCs w:val="24"/>
        </w:rPr>
        <w:t xml:space="preserve"> while</w:t>
      </w:r>
      <w:r w:rsidR="007C5E04" w:rsidRPr="00EE2715">
        <w:rPr>
          <w:rFonts w:ascii="Times" w:hAnsi="Times"/>
          <w:sz w:val="24"/>
          <w:szCs w:val="24"/>
        </w:rPr>
        <w:t xml:space="preserve"> the average grade-point-average of all students registered in MATH147 was 2.</w:t>
      </w:r>
      <w:r w:rsidR="00F76A42">
        <w:rPr>
          <w:rFonts w:ascii="Times" w:hAnsi="Times"/>
          <w:sz w:val="24"/>
          <w:szCs w:val="24"/>
        </w:rPr>
        <w:t>40</w:t>
      </w:r>
      <w:r w:rsidR="007C5E04" w:rsidRPr="00EE2715">
        <w:rPr>
          <w:rFonts w:ascii="Times" w:hAnsi="Times"/>
          <w:sz w:val="24"/>
          <w:szCs w:val="24"/>
        </w:rPr>
        <w:t>.  The average grade-point-average of those MATH147 students who attended two or more Math</w:t>
      </w:r>
      <w:r w:rsidR="004E328F" w:rsidRPr="00EE2715">
        <w:rPr>
          <w:rFonts w:ascii="Times" w:hAnsi="Times"/>
          <w:sz w:val="24"/>
          <w:szCs w:val="24"/>
        </w:rPr>
        <w:t>ematics</w:t>
      </w:r>
      <w:r w:rsidR="007C5E04" w:rsidRPr="00EE2715">
        <w:rPr>
          <w:rFonts w:ascii="Times" w:hAnsi="Times"/>
          <w:sz w:val="24"/>
          <w:szCs w:val="24"/>
        </w:rPr>
        <w:t xml:space="preserve"> Clinic sessions was </w:t>
      </w:r>
      <w:r w:rsidR="006B09DE" w:rsidRPr="00EE2715">
        <w:rPr>
          <w:rFonts w:ascii="Times" w:hAnsi="Times"/>
          <w:sz w:val="24"/>
          <w:szCs w:val="24"/>
        </w:rPr>
        <w:t>2.</w:t>
      </w:r>
      <w:r w:rsidR="0037565F">
        <w:rPr>
          <w:rFonts w:ascii="Times" w:hAnsi="Times"/>
          <w:sz w:val="24"/>
          <w:szCs w:val="24"/>
        </w:rPr>
        <w:t>70</w:t>
      </w:r>
      <w:r w:rsidR="007C5E04" w:rsidRPr="00EE2715">
        <w:rPr>
          <w:rFonts w:ascii="Times" w:hAnsi="Times"/>
          <w:sz w:val="24"/>
          <w:szCs w:val="24"/>
        </w:rPr>
        <w:t xml:space="preserve">.  </w:t>
      </w:r>
      <w:r w:rsidR="00663358" w:rsidRPr="00EE2715">
        <w:rPr>
          <w:rFonts w:ascii="Times" w:hAnsi="Times"/>
          <w:sz w:val="24"/>
          <w:szCs w:val="24"/>
        </w:rPr>
        <w:t>See Table I below.</w:t>
      </w:r>
    </w:p>
    <w:p w:rsidR="00663358" w:rsidRPr="004971C8" w:rsidRDefault="00663358" w:rsidP="004971C8">
      <w:pPr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 w:rsidRPr="004971C8">
        <w:rPr>
          <w:rFonts w:ascii="Times" w:hAnsi="Times"/>
          <w:b/>
          <w:sz w:val="24"/>
          <w:szCs w:val="24"/>
        </w:rPr>
        <w:t>TABLE I</w:t>
      </w:r>
    </w:p>
    <w:p w:rsidR="00663358" w:rsidRPr="004971C8" w:rsidRDefault="00663358" w:rsidP="004971C8">
      <w:pPr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 w:rsidRPr="004971C8">
        <w:rPr>
          <w:rFonts w:ascii="Times" w:hAnsi="Times"/>
          <w:b/>
          <w:sz w:val="24"/>
          <w:szCs w:val="24"/>
        </w:rPr>
        <w:t>MATH147 PRE-CALCULUS I</w:t>
      </w:r>
      <w:r w:rsidR="00E10F02" w:rsidRPr="004971C8">
        <w:rPr>
          <w:rFonts w:ascii="Times" w:hAnsi="Times"/>
          <w:b/>
          <w:sz w:val="24"/>
          <w:szCs w:val="24"/>
        </w:rPr>
        <w:t xml:space="preserve"> </w:t>
      </w:r>
      <w:r w:rsidRPr="004971C8">
        <w:rPr>
          <w:rFonts w:ascii="Times" w:hAnsi="Times"/>
          <w:b/>
          <w:sz w:val="24"/>
          <w:szCs w:val="24"/>
        </w:rPr>
        <w:t>MATHEMATICS CLINIC PARTICIPATION &amp; GPA</w:t>
      </w:r>
      <w:r w:rsidR="001A1B5D" w:rsidRPr="004971C8">
        <w:rPr>
          <w:rFonts w:ascii="Times" w:hAnsi="Times"/>
          <w:b/>
          <w:sz w:val="24"/>
          <w:szCs w:val="24"/>
        </w:rPr>
        <w:t xml:space="preserve"> (</w:t>
      </w:r>
      <w:r w:rsidR="00860834">
        <w:rPr>
          <w:rFonts w:ascii="Times" w:hAnsi="Times"/>
          <w:b/>
          <w:sz w:val="24"/>
          <w:szCs w:val="24"/>
        </w:rPr>
        <w:t>Fall</w:t>
      </w:r>
      <w:r w:rsidR="004971C8">
        <w:rPr>
          <w:rFonts w:ascii="Times" w:hAnsi="Times"/>
          <w:b/>
          <w:sz w:val="24"/>
          <w:szCs w:val="24"/>
        </w:rPr>
        <w:t xml:space="preserve"> 2011</w:t>
      </w:r>
      <w:r w:rsidR="001A1B5D" w:rsidRPr="004971C8">
        <w:rPr>
          <w:rFonts w:ascii="Times" w:hAnsi="Times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7938"/>
        <w:gridCol w:w="1638"/>
      </w:tblGrid>
      <w:tr w:rsidR="004E328F" w:rsidRPr="004971C8">
        <w:tc>
          <w:tcPr>
            <w:tcW w:w="7938" w:type="dxa"/>
          </w:tcPr>
          <w:p w:rsidR="004E328F" w:rsidRPr="004971C8" w:rsidRDefault="004E328F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Average GPA of all Students enrolled in MATH147</w:t>
            </w:r>
          </w:p>
        </w:tc>
        <w:tc>
          <w:tcPr>
            <w:tcW w:w="1638" w:type="dxa"/>
          </w:tcPr>
          <w:p w:rsidR="004E328F" w:rsidRPr="004971C8" w:rsidRDefault="006B09DE" w:rsidP="00860834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2.</w:t>
            </w:r>
            <w:r w:rsidR="00860834">
              <w:rPr>
                <w:rFonts w:ascii="Times" w:hAnsi="Times"/>
              </w:rPr>
              <w:t>40</w:t>
            </w:r>
          </w:p>
        </w:tc>
      </w:tr>
      <w:tr w:rsidR="004E328F" w:rsidRPr="004971C8">
        <w:tc>
          <w:tcPr>
            <w:tcW w:w="7938" w:type="dxa"/>
          </w:tcPr>
          <w:p w:rsidR="004E328F" w:rsidRPr="004971C8" w:rsidRDefault="004E328F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 xml:space="preserve">Average GPA </w:t>
            </w:r>
            <w:r w:rsidR="00663358" w:rsidRPr="004971C8">
              <w:rPr>
                <w:rFonts w:ascii="Times" w:hAnsi="Times"/>
              </w:rPr>
              <w:t>of Mathematics Clinic participants</w:t>
            </w:r>
          </w:p>
        </w:tc>
        <w:tc>
          <w:tcPr>
            <w:tcW w:w="1638" w:type="dxa"/>
          </w:tcPr>
          <w:p w:rsidR="004E328F" w:rsidRPr="004971C8" w:rsidRDefault="005135F2" w:rsidP="00F76A4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3.</w:t>
            </w:r>
            <w:r w:rsidR="00F76A42">
              <w:rPr>
                <w:rFonts w:ascii="Times" w:hAnsi="Times"/>
              </w:rPr>
              <w:t>10</w:t>
            </w:r>
          </w:p>
        </w:tc>
      </w:tr>
      <w:tr w:rsidR="004E328F" w:rsidRPr="004971C8">
        <w:tc>
          <w:tcPr>
            <w:tcW w:w="7938" w:type="dxa"/>
          </w:tcPr>
          <w:p w:rsidR="004E328F" w:rsidRPr="004971C8" w:rsidRDefault="004E328F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Average GPA of participants who attended 2 or more Mathematics Clinic sessions</w:t>
            </w:r>
          </w:p>
        </w:tc>
        <w:tc>
          <w:tcPr>
            <w:tcW w:w="1638" w:type="dxa"/>
          </w:tcPr>
          <w:p w:rsidR="004E328F" w:rsidRPr="004971C8" w:rsidRDefault="006B09DE" w:rsidP="0037565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2.</w:t>
            </w:r>
            <w:r w:rsidR="0037565F">
              <w:rPr>
                <w:rFonts w:ascii="Times" w:hAnsi="Times"/>
              </w:rPr>
              <w:t>70</w:t>
            </w:r>
          </w:p>
        </w:tc>
      </w:tr>
    </w:tbl>
    <w:p w:rsidR="004E328F" w:rsidRPr="004971C8" w:rsidRDefault="004E328F" w:rsidP="001513CF">
      <w:pPr>
        <w:jc w:val="both"/>
        <w:rPr>
          <w:rFonts w:ascii="Times" w:hAnsi="Times"/>
        </w:rPr>
      </w:pPr>
    </w:p>
    <w:p w:rsidR="00EE2715" w:rsidRDefault="006B09DE" w:rsidP="00286E1E">
      <w:pPr>
        <w:jc w:val="both"/>
        <w:rPr>
          <w:rFonts w:ascii="Times" w:hAnsi="Times"/>
          <w:sz w:val="24"/>
          <w:szCs w:val="24"/>
        </w:rPr>
      </w:pPr>
      <w:r w:rsidRPr="00EE2715">
        <w:rPr>
          <w:rFonts w:ascii="Times" w:hAnsi="Times"/>
          <w:sz w:val="24"/>
          <w:szCs w:val="24"/>
        </w:rPr>
        <w:t>The d</w:t>
      </w:r>
      <w:r w:rsidR="00663358" w:rsidRPr="00EE2715">
        <w:rPr>
          <w:rFonts w:ascii="Times" w:hAnsi="Times"/>
          <w:sz w:val="24"/>
          <w:szCs w:val="24"/>
        </w:rPr>
        <w:t xml:space="preserve">ata </w:t>
      </w:r>
      <w:r w:rsidRPr="00EE2715">
        <w:rPr>
          <w:rFonts w:ascii="Times" w:hAnsi="Times"/>
          <w:sz w:val="24"/>
          <w:szCs w:val="24"/>
        </w:rPr>
        <w:t>supports</w:t>
      </w:r>
      <w:r w:rsidR="00663358" w:rsidRPr="00EE2715">
        <w:rPr>
          <w:rFonts w:ascii="Times" w:hAnsi="Times"/>
          <w:sz w:val="24"/>
          <w:szCs w:val="24"/>
        </w:rPr>
        <w:t xml:space="preserve"> </w:t>
      </w:r>
      <w:r w:rsidRPr="00EE2715">
        <w:rPr>
          <w:rFonts w:ascii="Times" w:hAnsi="Times"/>
          <w:sz w:val="24"/>
          <w:szCs w:val="24"/>
        </w:rPr>
        <w:t xml:space="preserve">the </w:t>
      </w:r>
      <w:r w:rsidR="00663358" w:rsidRPr="00EE2715">
        <w:rPr>
          <w:rFonts w:ascii="Times" w:hAnsi="Times"/>
          <w:sz w:val="24"/>
          <w:szCs w:val="24"/>
        </w:rPr>
        <w:t xml:space="preserve">benefit </w:t>
      </w:r>
      <w:r w:rsidRPr="00EE2715">
        <w:rPr>
          <w:rFonts w:ascii="Times" w:hAnsi="Times"/>
          <w:sz w:val="24"/>
          <w:szCs w:val="24"/>
        </w:rPr>
        <w:t xml:space="preserve">of </w:t>
      </w:r>
      <w:r w:rsidR="00663358" w:rsidRPr="00EE2715">
        <w:rPr>
          <w:rFonts w:ascii="Times" w:hAnsi="Times"/>
          <w:sz w:val="24"/>
          <w:szCs w:val="24"/>
        </w:rPr>
        <w:t xml:space="preserve">attending </w:t>
      </w:r>
      <w:r w:rsidR="00DB4F7B" w:rsidRPr="00EE2715">
        <w:rPr>
          <w:rFonts w:ascii="Times" w:hAnsi="Times"/>
          <w:sz w:val="24"/>
          <w:szCs w:val="24"/>
        </w:rPr>
        <w:t xml:space="preserve">two or </w:t>
      </w:r>
      <w:r w:rsidR="00663358" w:rsidRPr="00EE2715">
        <w:rPr>
          <w:rFonts w:ascii="Times" w:hAnsi="Times"/>
          <w:sz w:val="24"/>
          <w:szCs w:val="24"/>
        </w:rPr>
        <w:t xml:space="preserve">more sessions.  </w:t>
      </w:r>
    </w:p>
    <w:p w:rsidR="0037565F" w:rsidRPr="00286E1E" w:rsidRDefault="0037565F" w:rsidP="00286E1E">
      <w:pPr>
        <w:jc w:val="both"/>
        <w:rPr>
          <w:rFonts w:ascii="Times" w:hAnsi="Times"/>
          <w:sz w:val="24"/>
          <w:szCs w:val="24"/>
        </w:rPr>
      </w:pPr>
    </w:p>
    <w:p w:rsidR="00EE2715" w:rsidRPr="005C3FF2" w:rsidRDefault="00EE2715" w:rsidP="00EE2715">
      <w:pPr>
        <w:spacing w:after="120"/>
        <w:jc w:val="center"/>
        <w:rPr>
          <w:rFonts w:ascii="Times" w:hAnsi="Times"/>
          <w:b/>
          <w:sz w:val="24"/>
          <w:szCs w:val="24"/>
        </w:rPr>
      </w:pPr>
      <w:r w:rsidRPr="005C3FF2">
        <w:rPr>
          <w:rFonts w:ascii="Times" w:hAnsi="Times"/>
          <w:b/>
          <w:sz w:val="24"/>
          <w:szCs w:val="24"/>
        </w:rPr>
        <w:t>TABLE II</w:t>
      </w:r>
    </w:p>
    <w:p w:rsidR="00EE2715" w:rsidRPr="005C3FF2" w:rsidRDefault="00EE2715" w:rsidP="00EE2715">
      <w:pPr>
        <w:spacing w:after="120"/>
        <w:jc w:val="center"/>
        <w:rPr>
          <w:rFonts w:ascii="Times" w:hAnsi="Times"/>
          <w:b/>
          <w:sz w:val="24"/>
          <w:szCs w:val="24"/>
        </w:rPr>
      </w:pPr>
      <w:r w:rsidRPr="005C3FF2">
        <w:rPr>
          <w:rFonts w:ascii="Times" w:hAnsi="Times"/>
          <w:b/>
          <w:sz w:val="24"/>
          <w:szCs w:val="24"/>
        </w:rPr>
        <w:t>PERFORMANCE IN QEP MATH 147 PRE-CALCULUS I (</w:t>
      </w:r>
      <w:r w:rsidR="004B7D02">
        <w:rPr>
          <w:rFonts w:ascii="Times" w:hAnsi="Times"/>
          <w:b/>
          <w:sz w:val="24"/>
          <w:szCs w:val="24"/>
        </w:rPr>
        <w:t>Fall</w:t>
      </w:r>
      <w:r w:rsidRPr="005C3FF2">
        <w:rPr>
          <w:rFonts w:ascii="Times" w:hAnsi="Times"/>
          <w:b/>
          <w:sz w:val="24"/>
          <w:szCs w:val="24"/>
        </w:rPr>
        <w:t xml:space="preserve"> 2011)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548"/>
        <w:gridCol w:w="1980"/>
        <w:gridCol w:w="1980"/>
        <w:gridCol w:w="2152"/>
        <w:gridCol w:w="1916"/>
      </w:tblGrid>
      <w:tr w:rsidR="00EE2715" w:rsidRPr="00144008" w:rsidTr="007D5D40">
        <w:tc>
          <w:tcPr>
            <w:tcW w:w="1548" w:type="dxa"/>
            <w:tcBorders>
              <w:right w:val="double" w:sz="4" w:space="0" w:color="auto"/>
            </w:tcBorders>
          </w:tcPr>
          <w:p w:rsidR="00EE2715" w:rsidRPr="00144008" w:rsidRDefault="00EE2715" w:rsidP="007D5D40">
            <w:pPr>
              <w:jc w:val="both"/>
              <w:rPr>
                <w:rFonts w:ascii="Times" w:hAnsi="Times"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</w:tcPr>
          <w:p w:rsidR="00EE2715" w:rsidRPr="005C3FF2" w:rsidRDefault="00EE2715" w:rsidP="007D5D40">
            <w:pPr>
              <w:jc w:val="both"/>
              <w:rPr>
                <w:rFonts w:ascii="Times" w:hAnsi="Times"/>
                <w:b/>
                <w:i/>
              </w:rPr>
            </w:pPr>
            <w:r w:rsidRPr="005C3FF2">
              <w:rPr>
                <w:rFonts w:ascii="Times" w:hAnsi="Times"/>
                <w:b/>
                <w:i/>
              </w:rPr>
              <w:t>Total Number of</w:t>
            </w:r>
          </w:p>
          <w:p w:rsidR="00EE2715" w:rsidRPr="005C3FF2" w:rsidRDefault="00EE2715" w:rsidP="007D5D40">
            <w:pPr>
              <w:jc w:val="both"/>
              <w:rPr>
                <w:rFonts w:ascii="Times" w:hAnsi="Times"/>
                <w:b/>
                <w:i/>
              </w:rPr>
            </w:pPr>
            <w:r w:rsidRPr="005C3FF2">
              <w:rPr>
                <w:rFonts w:ascii="Times" w:hAnsi="Times"/>
                <w:b/>
                <w:i/>
              </w:rPr>
              <w:t>Students</w:t>
            </w:r>
          </w:p>
        </w:tc>
        <w:tc>
          <w:tcPr>
            <w:tcW w:w="1980" w:type="dxa"/>
          </w:tcPr>
          <w:p w:rsidR="00EE2715" w:rsidRPr="005C3FF2" w:rsidRDefault="00EE2715" w:rsidP="007D5D40">
            <w:pPr>
              <w:jc w:val="both"/>
              <w:rPr>
                <w:rFonts w:ascii="Times" w:hAnsi="Times"/>
                <w:b/>
                <w:i/>
              </w:rPr>
            </w:pPr>
            <w:r w:rsidRPr="005C3FF2">
              <w:rPr>
                <w:rFonts w:ascii="Times" w:hAnsi="Times"/>
                <w:b/>
                <w:i/>
              </w:rPr>
              <w:t># of Students with Satisfactory Grade</w:t>
            </w:r>
          </w:p>
        </w:tc>
        <w:tc>
          <w:tcPr>
            <w:tcW w:w="2152" w:type="dxa"/>
          </w:tcPr>
          <w:p w:rsidR="00EE2715" w:rsidRPr="005C3FF2" w:rsidRDefault="00EE2715" w:rsidP="007D5D40">
            <w:pPr>
              <w:jc w:val="both"/>
              <w:rPr>
                <w:rFonts w:ascii="Times" w:hAnsi="Times"/>
                <w:b/>
                <w:i/>
              </w:rPr>
            </w:pPr>
            <w:r w:rsidRPr="005C3FF2">
              <w:rPr>
                <w:rFonts w:ascii="Times" w:hAnsi="Times"/>
                <w:b/>
                <w:i/>
              </w:rPr>
              <w:t># of Students with Unsatisfactory Grade</w:t>
            </w:r>
          </w:p>
        </w:tc>
        <w:tc>
          <w:tcPr>
            <w:tcW w:w="1916" w:type="dxa"/>
          </w:tcPr>
          <w:p w:rsidR="00EE2715" w:rsidRPr="005C3FF2" w:rsidRDefault="00EE2715" w:rsidP="007D5D40">
            <w:pPr>
              <w:jc w:val="both"/>
              <w:rPr>
                <w:rFonts w:ascii="Times" w:hAnsi="Times"/>
                <w:b/>
                <w:i/>
              </w:rPr>
            </w:pPr>
            <w:r w:rsidRPr="005C3FF2">
              <w:rPr>
                <w:rFonts w:ascii="Times" w:hAnsi="Times"/>
                <w:b/>
                <w:i/>
              </w:rPr>
              <w:t>Percent Satisfactory Grade</w:t>
            </w:r>
          </w:p>
        </w:tc>
      </w:tr>
      <w:tr w:rsidR="009C116C" w:rsidRPr="00144008" w:rsidTr="007D5D40">
        <w:tc>
          <w:tcPr>
            <w:tcW w:w="1548" w:type="dxa"/>
            <w:tcBorders>
              <w:right w:val="double" w:sz="4" w:space="0" w:color="auto"/>
            </w:tcBorders>
          </w:tcPr>
          <w:p w:rsidR="009C116C" w:rsidRPr="004971C8" w:rsidRDefault="009C116C" w:rsidP="00F76A42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201</w:t>
            </w:r>
            <w:r w:rsidR="00F76A42">
              <w:rPr>
                <w:rFonts w:ascii="Times" w:hAnsi="Time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C116C" w:rsidRPr="005C3FF2" w:rsidRDefault="00086BD2" w:rsidP="0037565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="0037565F">
              <w:rPr>
                <w:rFonts w:ascii="Times" w:hAnsi="Times"/>
              </w:rPr>
              <w:t>43</w:t>
            </w:r>
          </w:p>
        </w:tc>
        <w:tc>
          <w:tcPr>
            <w:tcW w:w="1980" w:type="dxa"/>
          </w:tcPr>
          <w:p w:rsidR="009C116C" w:rsidRPr="005C3FF2" w:rsidRDefault="0037565F" w:rsidP="000D5D59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363</w:t>
            </w:r>
          </w:p>
        </w:tc>
        <w:tc>
          <w:tcPr>
            <w:tcW w:w="2152" w:type="dxa"/>
          </w:tcPr>
          <w:p w:rsidR="009C116C" w:rsidRPr="005C3FF2" w:rsidRDefault="0037565F" w:rsidP="000D5D59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280</w:t>
            </w:r>
          </w:p>
        </w:tc>
        <w:tc>
          <w:tcPr>
            <w:tcW w:w="1916" w:type="dxa"/>
          </w:tcPr>
          <w:p w:rsidR="009C116C" w:rsidRPr="005C3FF2" w:rsidRDefault="00086BD2" w:rsidP="000D5D59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56</w:t>
            </w:r>
            <w:r w:rsidR="009C116C" w:rsidRPr="005C3FF2">
              <w:rPr>
                <w:rFonts w:ascii="Times" w:hAnsi="Times"/>
              </w:rPr>
              <w:t>%</w:t>
            </w:r>
          </w:p>
        </w:tc>
      </w:tr>
    </w:tbl>
    <w:p w:rsidR="00EE2715" w:rsidRDefault="00EE2715" w:rsidP="001513CF">
      <w:pPr>
        <w:jc w:val="both"/>
        <w:rPr>
          <w:rFonts w:ascii="Times" w:hAnsi="Times"/>
        </w:rPr>
      </w:pPr>
    </w:p>
    <w:p w:rsidR="00685B99" w:rsidRDefault="008524E4" w:rsidP="001513CF">
      <w:pPr>
        <w:jc w:val="both"/>
        <w:rPr>
          <w:rFonts w:ascii="Times" w:hAnsi="Times"/>
          <w:sz w:val="24"/>
          <w:szCs w:val="24"/>
        </w:rPr>
      </w:pPr>
      <w:r w:rsidRPr="00EE2715">
        <w:rPr>
          <w:rFonts w:ascii="Times" w:hAnsi="Times"/>
          <w:i/>
          <w:sz w:val="24"/>
          <w:szCs w:val="24"/>
        </w:rPr>
        <w:t>Technology in Teaching Mathematics</w:t>
      </w:r>
      <w:r w:rsidR="0072702E" w:rsidRPr="00EE2715">
        <w:rPr>
          <w:rFonts w:ascii="Times" w:hAnsi="Times"/>
          <w:sz w:val="24"/>
          <w:szCs w:val="24"/>
        </w:rPr>
        <w:t xml:space="preserve"> was implemented into twelve of the sixteen sections of </w:t>
      </w:r>
      <w:r w:rsidR="00837D92">
        <w:rPr>
          <w:rFonts w:ascii="Times" w:hAnsi="Times"/>
          <w:sz w:val="24"/>
          <w:szCs w:val="24"/>
        </w:rPr>
        <w:t xml:space="preserve">MATH147 Pre-Calculus </w:t>
      </w:r>
      <w:r w:rsidR="00AA3705" w:rsidRPr="00EE2715">
        <w:rPr>
          <w:rFonts w:ascii="Times" w:hAnsi="Times"/>
          <w:sz w:val="24"/>
          <w:szCs w:val="24"/>
        </w:rPr>
        <w:t>I</w:t>
      </w:r>
      <w:r w:rsidR="00CE1CB1" w:rsidRPr="00EE2715">
        <w:rPr>
          <w:rFonts w:ascii="Times" w:hAnsi="Times"/>
          <w:sz w:val="24"/>
          <w:szCs w:val="24"/>
        </w:rPr>
        <w:t xml:space="preserve">, beginning </w:t>
      </w:r>
      <w:r w:rsidR="00837D92">
        <w:rPr>
          <w:rFonts w:ascii="Times" w:hAnsi="Times"/>
          <w:sz w:val="24"/>
          <w:szCs w:val="24"/>
        </w:rPr>
        <w:t xml:space="preserve">the </w:t>
      </w:r>
      <w:proofErr w:type="gramStart"/>
      <w:r w:rsidR="00CE1CB1" w:rsidRPr="00EE2715">
        <w:rPr>
          <w:rFonts w:ascii="Times" w:hAnsi="Times"/>
          <w:sz w:val="24"/>
          <w:szCs w:val="24"/>
        </w:rPr>
        <w:t>Fall</w:t>
      </w:r>
      <w:proofErr w:type="gramEnd"/>
      <w:r w:rsidR="00CE1CB1" w:rsidRPr="00EE2715">
        <w:rPr>
          <w:rFonts w:ascii="Times" w:hAnsi="Times"/>
          <w:sz w:val="24"/>
          <w:szCs w:val="24"/>
        </w:rPr>
        <w:t xml:space="preserve"> 2010 semester</w:t>
      </w:r>
      <w:r w:rsidRPr="00EE2715">
        <w:rPr>
          <w:rFonts w:ascii="Times" w:hAnsi="Times"/>
          <w:sz w:val="24"/>
          <w:szCs w:val="24"/>
        </w:rPr>
        <w:t>.  Specifically</w:t>
      </w:r>
      <w:r w:rsidR="005C5107" w:rsidRPr="00EE2715">
        <w:rPr>
          <w:rFonts w:ascii="Times" w:hAnsi="Times"/>
          <w:sz w:val="24"/>
          <w:szCs w:val="24"/>
        </w:rPr>
        <w:t>,</w:t>
      </w:r>
      <w:r w:rsidRPr="00EE2715">
        <w:rPr>
          <w:rFonts w:ascii="Times" w:hAnsi="Times"/>
          <w:sz w:val="24"/>
          <w:szCs w:val="24"/>
        </w:rPr>
        <w:t xml:space="preserve"> the mathematic</w:t>
      </w:r>
      <w:r w:rsidR="005C5107" w:rsidRPr="00EE2715">
        <w:rPr>
          <w:rFonts w:ascii="Times" w:hAnsi="Times"/>
          <w:sz w:val="24"/>
          <w:szCs w:val="24"/>
        </w:rPr>
        <w:t xml:space="preserve">al software and book bundle, </w:t>
      </w:r>
      <w:r w:rsidRPr="00EE2715">
        <w:rPr>
          <w:rFonts w:ascii="Times" w:hAnsi="Times"/>
          <w:i/>
          <w:sz w:val="24"/>
          <w:szCs w:val="24"/>
        </w:rPr>
        <w:t>Hawkes Learning Systems</w:t>
      </w:r>
      <w:r w:rsidRPr="00EE2715">
        <w:rPr>
          <w:rFonts w:ascii="Times" w:hAnsi="Times"/>
          <w:sz w:val="24"/>
          <w:szCs w:val="24"/>
        </w:rPr>
        <w:t xml:space="preserve"> was adopted.  The textbook includes a softwar</w:t>
      </w:r>
      <w:r w:rsidR="005C5107" w:rsidRPr="00EE2715">
        <w:rPr>
          <w:rFonts w:ascii="Times" w:hAnsi="Times"/>
          <w:sz w:val="24"/>
          <w:szCs w:val="24"/>
        </w:rPr>
        <w:t xml:space="preserve">e package that </w:t>
      </w:r>
      <w:r w:rsidRPr="00EE2715">
        <w:rPr>
          <w:rFonts w:ascii="Times" w:hAnsi="Times"/>
          <w:sz w:val="24"/>
          <w:szCs w:val="24"/>
        </w:rPr>
        <w:t>supplement</w:t>
      </w:r>
      <w:r w:rsidR="005C5107" w:rsidRPr="00EE2715">
        <w:rPr>
          <w:rFonts w:ascii="Times" w:hAnsi="Times"/>
          <w:sz w:val="24"/>
          <w:szCs w:val="24"/>
        </w:rPr>
        <w:t>s</w:t>
      </w:r>
      <w:r w:rsidR="00AA3705" w:rsidRPr="00EE2715">
        <w:rPr>
          <w:rFonts w:ascii="Times" w:hAnsi="Times"/>
          <w:sz w:val="24"/>
          <w:szCs w:val="24"/>
        </w:rPr>
        <w:t xml:space="preserve"> classroom instruction.  </w:t>
      </w:r>
      <w:r w:rsidRPr="00EE2715">
        <w:rPr>
          <w:rFonts w:ascii="Times" w:hAnsi="Times"/>
          <w:sz w:val="24"/>
          <w:szCs w:val="24"/>
        </w:rPr>
        <w:t xml:space="preserve">Students are encouraged to </w:t>
      </w:r>
      <w:r w:rsidR="005C5107" w:rsidRPr="00EE2715">
        <w:rPr>
          <w:rFonts w:ascii="Times" w:hAnsi="Times"/>
          <w:sz w:val="24"/>
          <w:szCs w:val="24"/>
        </w:rPr>
        <w:t>solve</w:t>
      </w:r>
      <w:r w:rsidRPr="00EE2715">
        <w:rPr>
          <w:rFonts w:ascii="Times" w:hAnsi="Times"/>
          <w:sz w:val="24"/>
          <w:szCs w:val="24"/>
        </w:rPr>
        <w:t xml:space="preserve"> additional problems at their own pace </w:t>
      </w:r>
      <w:r w:rsidR="00AA3705" w:rsidRPr="00EE2715">
        <w:rPr>
          <w:rFonts w:ascii="Times" w:hAnsi="Times"/>
          <w:sz w:val="24"/>
          <w:szCs w:val="24"/>
        </w:rPr>
        <w:t xml:space="preserve">and at their convenience.  </w:t>
      </w:r>
      <w:r w:rsidRPr="00EE2715">
        <w:rPr>
          <w:rFonts w:ascii="Times" w:hAnsi="Times"/>
          <w:sz w:val="24"/>
          <w:szCs w:val="24"/>
        </w:rPr>
        <w:t xml:space="preserve">This involvement helps students </w:t>
      </w:r>
      <w:r w:rsidR="005C5107" w:rsidRPr="00EE2715">
        <w:rPr>
          <w:rFonts w:ascii="Times" w:hAnsi="Times"/>
          <w:sz w:val="24"/>
          <w:szCs w:val="24"/>
        </w:rPr>
        <w:t xml:space="preserve">enhance </w:t>
      </w:r>
      <w:r w:rsidRPr="00EE2715">
        <w:rPr>
          <w:rFonts w:ascii="Times" w:hAnsi="Times"/>
          <w:sz w:val="24"/>
          <w:szCs w:val="24"/>
        </w:rPr>
        <w:t>their conceptual and procedural knowledge</w:t>
      </w:r>
      <w:r w:rsidR="00DB4F7B" w:rsidRPr="00EE2715">
        <w:rPr>
          <w:rFonts w:ascii="Times" w:hAnsi="Times"/>
          <w:sz w:val="24"/>
          <w:szCs w:val="24"/>
        </w:rPr>
        <w:t xml:space="preserve"> skills</w:t>
      </w:r>
      <w:r w:rsidRPr="00EE2715">
        <w:rPr>
          <w:rFonts w:ascii="Times" w:hAnsi="Times"/>
          <w:sz w:val="24"/>
          <w:szCs w:val="24"/>
        </w:rPr>
        <w:t xml:space="preserve">.  </w:t>
      </w:r>
      <w:r w:rsidR="00AA3705" w:rsidRPr="00EE2715">
        <w:rPr>
          <w:rFonts w:ascii="Times" w:hAnsi="Times"/>
          <w:sz w:val="24"/>
          <w:szCs w:val="24"/>
        </w:rPr>
        <w:t>The package</w:t>
      </w:r>
      <w:r w:rsidR="005C5107" w:rsidRPr="00EE2715">
        <w:rPr>
          <w:rFonts w:ascii="Times" w:hAnsi="Times"/>
          <w:sz w:val="24"/>
          <w:szCs w:val="24"/>
        </w:rPr>
        <w:t xml:space="preserve"> also</w:t>
      </w:r>
      <w:r w:rsidRPr="00EE2715">
        <w:rPr>
          <w:rFonts w:ascii="Times" w:hAnsi="Times"/>
          <w:sz w:val="24"/>
          <w:szCs w:val="24"/>
        </w:rPr>
        <w:t xml:space="preserve"> provides unlimited homework problems with</w:t>
      </w:r>
      <w:r w:rsidR="00DB4F7B" w:rsidRPr="00EE2715">
        <w:rPr>
          <w:rFonts w:ascii="Times" w:hAnsi="Times"/>
          <w:sz w:val="24"/>
          <w:szCs w:val="24"/>
        </w:rPr>
        <w:t xml:space="preserve"> immediate </w:t>
      </w:r>
      <w:r w:rsidRPr="00EE2715">
        <w:rPr>
          <w:rFonts w:ascii="Times" w:hAnsi="Times"/>
          <w:sz w:val="24"/>
          <w:szCs w:val="24"/>
        </w:rPr>
        <w:t>error-s</w:t>
      </w:r>
      <w:r w:rsidR="00AA3705" w:rsidRPr="00EE2715">
        <w:rPr>
          <w:rFonts w:ascii="Times" w:hAnsi="Times"/>
          <w:sz w:val="24"/>
          <w:szCs w:val="24"/>
        </w:rPr>
        <w:t xml:space="preserve">pecific feedback.  </w:t>
      </w:r>
      <w:r w:rsidR="00DB4F7B" w:rsidRPr="00EE2715">
        <w:rPr>
          <w:rFonts w:ascii="Times" w:hAnsi="Times"/>
          <w:sz w:val="24"/>
          <w:szCs w:val="24"/>
        </w:rPr>
        <w:t xml:space="preserve">Faculty members </w:t>
      </w:r>
      <w:r w:rsidR="005C5107" w:rsidRPr="00EE2715">
        <w:rPr>
          <w:rFonts w:ascii="Times" w:hAnsi="Times"/>
          <w:sz w:val="24"/>
          <w:szCs w:val="24"/>
        </w:rPr>
        <w:t xml:space="preserve">can also generate homework assignments, quizzes </w:t>
      </w:r>
      <w:r w:rsidRPr="00EE2715">
        <w:rPr>
          <w:rFonts w:ascii="Times" w:hAnsi="Times"/>
          <w:sz w:val="24"/>
          <w:szCs w:val="24"/>
        </w:rPr>
        <w:t>and tests</w:t>
      </w:r>
      <w:r w:rsidR="00837D92">
        <w:rPr>
          <w:rFonts w:ascii="Times" w:hAnsi="Times"/>
          <w:sz w:val="24"/>
          <w:szCs w:val="24"/>
        </w:rPr>
        <w:t>,</w:t>
      </w:r>
      <w:r w:rsidRPr="00EE2715">
        <w:rPr>
          <w:rFonts w:ascii="Times" w:hAnsi="Times"/>
          <w:sz w:val="24"/>
          <w:szCs w:val="24"/>
        </w:rPr>
        <w:t xml:space="preserve"> and </w:t>
      </w:r>
      <w:r w:rsidR="005C5107" w:rsidRPr="00EE2715">
        <w:rPr>
          <w:rFonts w:ascii="Times" w:hAnsi="Times"/>
          <w:sz w:val="24"/>
          <w:szCs w:val="24"/>
        </w:rPr>
        <w:t>assess</w:t>
      </w:r>
      <w:r w:rsidRPr="00EE2715">
        <w:rPr>
          <w:rFonts w:ascii="Times" w:hAnsi="Times"/>
          <w:sz w:val="24"/>
          <w:szCs w:val="24"/>
        </w:rPr>
        <w:t xml:space="preserve"> students’ academic progress with the softwar</w:t>
      </w:r>
      <w:r w:rsidR="00685B99">
        <w:rPr>
          <w:rFonts w:ascii="Times" w:hAnsi="Times"/>
          <w:sz w:val="24"/>
          <w:szCs w:val="24"/>
        </w:rPr>
        <w:t>e.</w:t>
      </w:r>
    </w:p>
    <w:p w:rsidR="00685B99" w:rsidRPr="00EE2715" w:rsidRDefault="00685B99" w:rsidP="001513CF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 Academic Year 2011-2012 feature</w:t>
      </w:r>
      <w:r w:rsidR="00E57972">
        <w:rPr>
          <w:rFonts w:ascii="Times" w:hAnsi="Times"/>
          <w:sz w:val="24"/>
          <w:szCs w:val="24"/>
        </w:rPr>
        <w:t>d</w:t>
      </w:r>
      <w:r>
        <w:rPr>
          <w:rFonts w:ascii="Times" w:hAnsi="Times"/>
          <w:sz w:val="24"/>
          <w:szCs w:val="24"/>
        </w:rPr>
        <w:t xml:space="preserve"> the incorporation of the QEP Peer Tutorial component.  This component targets </w:t>
      </w:r>
      <w:r w:rsidR="00860834">
        <w:rPr>
          <w:rFonts w:ascii="Times" w:hAnsi="Times"/>
          <w:sz w:val="24"/>
          <w:szCs w:val="24"/>
        </w:rPr>
        <w:t>undergraduate students, who have a minimum grade point average of 3.0 and a grade of B or better in Pre-Calculus, to assist students with mastery of course content and problem-solving under the supervision of assigned faculty members and the QEP Office.  National research supports peer-to-peer learning as a successful tool across the educational spectrum.</w:t>
      </w:r>
    </w:p>
    <w:p w:rsidR="00E10F02" w:rsidRPr="00EE2715" w:rsidRDefault="001A1B5D" w:rsidP="001513CF">
      <w:pPr>
        <w:jc w:val="both"/>
        <w:rPr>
          <w:rFonts w:ascii="Times" w:hAnsi="Times"/>
          <w:sz w:val="24"/>
          <w:szCs w:val="24"/>
        </w:rPr>
      </w:pPr>
      <w:r w:rsidRPr="00EE2715">
        <w:rPr>
          <w:rFonts w:ascii="Times" w:hAnsi="Times"/>
          <w:sz w:val="24"/>
          <w:szCs w:val="24"/>
        </w:rPr>
        <w:t xml:space="preserve">During the </w:t>
      </w:r>
      <w:r w:rsidR="004B7D02">
        <w:rPr>
          <w:rFonts w:ascii="Times" w:hAnsi="Times"/>
          <w:sz w:val="24"/>
          <w:szCs w:val="24"/>
        </w:rPr>
        <w:t>third</w:t>
      </w:r>
      <w:r w:rsidR="006B09DE" w:rsidRPr="00EE2715">
        <w:rPr>
          <w:rFonts w:ascii="Times" w:hAnsi="Times"/>
          <w:sz w:val="24"/>
          <w:szCs w:val="24"/>
        </w:rPr>
        <w:t xml:space="preserve"> </w:t>
      </w:r>
      <w:r w:rsidRPr="00EE2715">
        <w:rPr>
          <w:rFonts w:ascii="Times" w:hAnsi="Times"/>
          <w:sz w:val="24"/>
          <w:szCs w:val="24"/>
        </w:rPr>
        <w:t xml:space="preserve">semester </w:t>
      </w:r>
      <w:r w:rsidR="00837D92">
        <w:rPr>
          <w:rFonts w:ascii="Times" w:hAnsi="Times"/>
          <w:sz w:val="24"/>
          <w:szCs w:val="24"/>
        </w:rPr>
        <w:t xml:space="preserve">of </w:t>
      </w:r>
      <w:r w:rsidR="00685B99">
        <w:rPr>
          <w:rFonts w:ascii="Times" w:hAnsi="Times"/>
          <w:sz w:val="24"/>
          <w:szCs w:val="24"/>
        </w:rPr>
        <w:t xml:space="preserve">full </w:t>
      </w:r>
      <w:r w:rsidR="00837D92">
        <w:rPr>
          <w:rFonts w:ascii="Times" w:hAnsi="Times"/>
          <w:sz w:val="24"/>
          <w:szCs w:val="24"/>
        </w:rPr>
        <w:t>implementation of</w:t>
      </w:r>
      <w:r w:rsidRPr="00EE2715">
        <w:rPr>
          <w:rFonts w:ascii="Times" w:hAnsi="Times"/>
          <w:sz w:val="24"/>
          <w:szCs w:val="24"/>
        </w:rPr>
        <w:t xml:space="preserve"> </w:t>
      </w:r>
      <w:r w:rsidRPr="00837D92">
        <w:rPr>
          <w:rFonts w:ascii="Times" w:hAnsi="Times"/>
          <w:i/>
          <w:sz w:val="24"/>
          <w:szCs w:val="24"/>
        </w:rPr>
        <w:t>Technology in Teaching Mathematics</w:t>
      </w:r>
      <w:r w:rsidR="0072702E" w:rsidRPr="00EE2715">
        <w:rPr>
          <w:rFonts w:ascii="Times" w:hAnsi="Times"/>
          <w:sz w:val="24"/>
          <w:szCs w:val="24"/>
        </w:rPr>
        <w:t xml:space="preserve"> </w:t>
      </w:r>
      <w:r w:rsidRPr="00EE2715">
        <w:rPr>
          <w:rFonts w:ascii="Times" w:hAnsi="Times"/>
          <w:sz w:val="24"/>
          <w:szCs w:val="24"/>
        </w:rPr>
        <w:t xml:space="preserve">and </w:t>
      </w:r>
      <w:r w:rsidR="00837D92" w:rsidRPr="00837D92">
        <w:rPr>
          <w:rFonts w:ascii="Times" w:hAnsi="Times"/>
          <w:i/>
          <w:sz w:val="24"/>
          <w:szCs w:val="24"/>
        </w:rPr>
        <w:t>T</w:t>
      </w:r>
      <w:r w:rsidRPr="00837D92">
        <w:rPr>
          <w:rFonts w:ascii="Times" w:hAnsi="Times"/>
          <w:i/>
          <w:sz w:val="24"/>
          <w:szCs w:val="24"/>
        </w:rPr>
        <w:t>he Mathematics Clinic</w:t>
      </w:r>
      <w:r w:rsidR="0072702E" w:rsidRPr="00EE2715">
        <w:rPr>
          <w:rFonts w:ascii="Times" w:hAnsi="Times"/>
          <w:sz w:val="24"/>
          <w:szCs w:val="24"/>
        </w:rPr>
        <w:t xml:space="preserve"> (available to all MATH</w:t>
      </w:r>
      <w:r w:rsidR="0071746C" w:rsidRPr="00EE2715">
        <w:rPr>
          <w:rFonts w:ascii="Times" w:hAnsi="Times"/>
          <w:sz w:val="24"/>
          <w:szCs w:val="24"/>
        </w:rPr>
        <w:t xml:space="preserve"> </w:t>
      </w:r>
      <w:r w:rsidR="0072702E" w:rsidRPr="00EE2715">
        <w:rPr>
          <w:rFonts w:ascii="Times" w:hAnsi="Times"/>
          <w:sz w:val="24"/>
          <w:szCs w:val="24"/>
        </w:rPr>
        <w:t>147 students)</w:t>
      </w:r>
      <w:r w:rsidR="00C96F73" w:rsidRPr="00EE2715">
        <w:rPr>
          <w:rFonts w:ascii="Times" w:hAnsi="Times"/>
          <w:sz w:val="24"/>
          <w:szCs w:val="24"/>
        </w:rPr>
        <w:t>,</w:t>
      </w:r>
      <w:r w:rsidRPr="00EE2715">
        <w:rPr>
          <w:rFonts w:ascii="Times" w:hAnsi="Times"/>
          <w:sz w:val="24"/>
          <w:szCs w:val="24"/>
        </w:rPr>
        <w:t xml:space="preserve"> </w:t>
      </w:r>
      <w:r w:rsidR="004B7D02">
        <w:rPr>
          <w:rFonts w:ascii="Times" w:hAnsi="Times"/>
          <w:sz w:val="24"/>
          <w:szCs w:val="24"/>
        </w:rPr>
        <w:t>56</w:t>
      </w:r>
      <w:r w:rsidR="00C96F73" w:rsidRPr="00EE2715">
        <w:rPr>
          <w:rFonts w:ascii="Times" w:hAnsi="Times"/>
          <w:sz w:val="24"/>
          <w:szCs w:val="24"/>
        </w:rPr>
        <w:t xml:space="preserve">% of </w:t>
      </w:r>
      <w:r w:rsidRPr="00EE2715">
        <w:rPr>
          <w:rFonts w:ascii="Times" w:hAnsi="Times"/>
          <w:sz w:val="24"/>
          <w:szCs w:val="24"/>
        </w:rPr>
        <w:t xml:space="preserve">students received </w:t>
      </w:r>
      <w:r w:rsidR="00852A6C" w:rsidRPr="00EE2715">
        <w:rPr>
          <w:rFonts w:ascii="Times" w:hAnsi="Times"/>
          <w:sz w:val="24"/>
          <w:szCs w:val="24"/>
        </w:rPr>
        <w:t xml:space="preserve">a </w:t>
      </w:r>
      <w:r w:rsidRPr="00EE2715">
        <w:rPr>
          <w:rFonts w:ascii="Times" w:hAnsi="Times"/>
          <w:sz w:val="24"/>
          <w:szCs w:val="24"/>
        </w:rPr>
        <w:t>satisfactory grade (Table II).</w:t>
      </w:r>
      <w:r w:rsidR="00EE2715">
        <w:rPr>
          <w:rFonts w:ascii="Times" w:hAnsi="Times"/>
          <w:sz w:val="24"/>
          <w:szCs w:val="24"/>
        </w:rPr>
        <w:t xml:space="preserve">  </w:t>
      </w:r>
      <w:r w:rsidR="00EE2715" w:rsidRPr="00EE2715">
        <w:rPr>
          <w:rFonts w:ascii="Times" w:hAnsi="Times"/>
          <w:sz w:val="24"/>
          <w:szCs w:val="24"/>
        </w:rPr>
        <w:t xml:space="preserve">An analysis of the data for the previous  </w:t>
      </w:r>
      <w:r w:rsidR="00796351" w:rsidRPr="005C3FF2">
        <w:rPr>
          <w:rFonts w:ascii="Times" w:hAnsi="Times"/>
          <w:sz w:val="24"/>
          <w:szCs w:val="24"/>
        </w:rPr>
        <w:t>1</w:t>
      </w:r>
      <w:r w:rsidR="004B7D02">
        <w:rPr>
          <w:rFonts w:ascii="Times" w:hAnsi="Times"/>
          <w:sz w:val="24"/>
          <w:szCs w:val="24"/>
        </w:rPr>
        <w:t>5</w:t>
      </w:r>
      <w:r w:rsidR="00796351">
        <w:rPr>
          <w:rFonts w:ascii="Times" w:hAnsi="Times"/>
          <w:color w:val="FF0000"/>
          <w:sz w:val="24"/>
          <w:szCs w:val="24"/>
        </w:rPr>
        <w:t xml:space="preserve"> </w:t>
      </w:r>
      <w:r w:rsidR="00EE2715" w:rsidRPr="00EE2715">
        <w:rPr>
          <w:rFonts w:ascii="Times" w:hAnsi="Times"/>
          <w:sz w:val="24"/>
          <w:szCs w:val="24"/>
        </w:rPr>
        <w:t>semesters (Fall 2003-</w:t>
      </w:r>
      <w:r w:rsidR="00685B99">
        <w:rPr>
          <w:rFonts w:ascii="Times" w:hAnsi="Times"/>
          <w:sz w:val="24"/>
          <w:szCs w:val="24"/>
        </w:rPr>
        <w:t>Fall</w:t>
      </w:r>
      <w:r w:rsidR="00EE2715" w:rsidRPr="00EE2715">
        <w:rPr>
          <w:rFonts w:ascii="Times" w:hAnsi="Times"/>
          <w:sz w:val="24"/>
          <w:szCs w:val="24"/>
        </w:rPr>
        <w:t xml:space="preserve"> 201</w:t>
      </w:r>
      <w:r w:rsidR="00796351" w:rsidRPr="005C3FF2">
        <w:rPr>
          <w:rFonts w:ascii="Times" w:hAnsi="Times"/>
          <w:sz w:val="24"/>
          <w:szCs w:val="24"/>
        </w:rPr>
        <w:t>0</w:t>
      </w:r>
      <w:r w:rsidR="00EE2715" w:rsidRPr="00EE2715">
        <w:rPr>
          <w:rFonts w:ascii="Times" w:hAnsi="Times"/>
          <w:sz w:val="24"/>
          <w:szCs w:val="24"/>
        </w:rPr>
        <w:t xml:space="preserve">) shows that an average of </w:t>
      </w:r>
      <w:r w:rsidR="00796351" w:rsidRPr="005C3FF2">
        <w:rPr>
          <w:rFonts w:ascii="Times" w:hAnsi="Times"/>
          <w:sz w:val="24"/>
          <w:szCs w:val="24"/>
        </w:rPr>
        <w:t>4</w:t>
      </w:r>
      <w:r w:rsidR="00685B99">
        <w:rPr>
          <w:rFonts w:ascii="Times" w:hAnsi="Times"/>
          <w:sz w:val="24"/>
          <w:szCs w:val="24"/>
        </w:rPr>
        <w:t>6</w:t>
      </w:r>
      <w:r w:rsidR="00796351" w:rsidRPr="005C3FF2">
        <w:rPr>
          <w:rFonts w:ascii="Times" w:hAnsi="Times"/>
          <w:sz w:val="24"/>
          <w:szCs w:val="24"/>
        </w:rPr>
        <w:t>%</w:t>
      </w:r>
      <w:r w:rsidR="00EE2715" w:rsidRPr="00EE2715">
        <w:rPr>
          <w:rFonts w:ascii="Times" w:hAnsi="Times"/>
          <w:sz w:val="24"/>
          <w:szCs w:val="24"/>
        </w:rPr>
        <w:t xml:space="preserve"> of students earned a satisfactory grade (A,B,C)  in Pre-Calculus I (shown in Table II</w:t>
      </w:r>
      <w:r w:rsidR="00EE2715">
        <w:rPr>
          <w:rFonts w:ascii="Times" w:hAnsi="Times"/>
          <w:sz w:val="24"/>
          <w:szCs w:val="24"/>
        </w:rPr>
        <w:t>I)</w:t>
      </w:r>
      <w:r w:rsidR="00EE2715" w:rsidRPr="00EE2715">
        <w:rPr>
          <w:rFonts w:ascii="Times" w:hAnsi="Times"/>
          <w:sz w:val="24"/>
          <w:szCs w:val="24"/>
        </w:rPr>
        <w:t>.</w:t>
      </w:r>
    </w:p>
    <w:p w:rsidR="008524E4" w:rsidRPr="004971C8" w:rsidRDefault="008524E4" w:rsidP="001513CF">
      <w:pPr>
        <w:jc w:val="both"/>
        <w:rPr>
          <w:rFonts w:ascii="Times" w:hAnsi="Times"/>
        </w:rPr>
      </w:pPr>
    </w:p>
    <w:p w:rsidR="003F3C5C" w:rsidRDefault="003F3C5C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3F3C5C" w:rsidRDefault="003F3C5C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3F3C5C" w:rsidRDefault="003F3C5C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3F3C5C" w:rsidRDefault="003F3C5C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37565F" w:rsidRDefault="0037565F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37565F" w:rsidRDefault="0037565F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3F3C5C" w:rsidRDefault="003F3C5C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:rsidR="00B70F24" w:rsidRPr="004971C8" w:rsidRDefault="00B70F24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  <w:r w:rsidRPr="004971C8">
        <w:rPr>
          <w:rFonts w:ascii="Times" w:hAnsi="Times"/>
          <w:b/>
          <w:sz w:val="24"/>
          <w:szCs w:val="24"/>
        </w:rPr>
        <w:t>TABLE I</w:t>
      </w:r>
      <w:r w:rsidR="001A1B5D" w:rsidRPr="004971C8">
        <w:rPr>
          <w:rFonts w:ascii="Times" w:hAnsi="Times"/>
          <w:b/>
          <w:sz w:val="24"/>
          <w:szCs w:val="24"/>
        </w:rPr>
        <w:t>I</w:t>
      </w:r>
      <w:r w:rsidR="00EE2715">
        <w:rPr>
          <w:rFonts w:ascii="Times" w:hAnsi="Times"/>
          <w:b/>
          <w:sz w:val="24"/>
          <w:szCs w:val="24"/>
        </w:rPr>
        <w:t>I</w:t>
      </w:r>
    </w:p>
    <w:p w:rsidR="00CE1CB1" w:rsidRPr="004971C8" w:rsidRDefault="00CE1CB1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  <w:r w:rsidRPr="004971C8">
        <w:rPr>
          <w:rFonts w:ascii="Times" w:hAnsi="Times"/>
          <w:b/>
          <w:sz w:val="24"/>
          <w:szCs w:val="24"/>
        </w:rPr>
        <w:t>PERFORMANCE IN MATH</w:t>
      </w:r>
      <w:r w:rsidR="00D121AA">
        <w:rPr>
          <w:rFonts w:ascii="Times" w:hAnsi="Times"/>
          <w:b/>
          <w:sz w:val="24"/>
          <w:szCs w:val="24"/>
        </w:rPr>
        <w:t xml:space="preserve"> </w:t>
      </w:r>
      <w:r w:rsidRPr="004971C8">
        <w:rPr>
          <w:rFonts w:ascii="Times" w:hAnsi="Times"/>
          <w:b/>
          <w:sz w:val="24"/>
          <w:szCs w:val="24"/>
        </w:rPr>
        <w:t>147 PRE-CALCULUS I</w:t>
      </w:r>
    </w:p>
    <w:p w:rsidR="00CE1CB1" w:rsidRPr="004971C8" w:rsidRDefault="00CE1CB1" w:rsidP="00F96600">
      <w:pPr>
        <w:spacing w:after="120"/>
        <w:jc w:val="center"/>
        <w:rPr>
          <w:rFonts w:ascii="Times" w:hAnsi="Times"/>
          <w:b/>
          <w:sz w:val="24"/>
          <w:szCs w:val="24"/>
        </w:rPr>
      </w:pPr>
      <w:r w:rsidRPr="004971C8">
        <w:rPr>
          <w:rFonts w:ascii="Times" w:hAnsi="Times"/>
          <w:b/>
          <w:sz w:val="24"/>
          <w:szCs w:val="24"/>
        </w:rPr>
        <w:t>Fall 2003 - Spring 2011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548"/>
        <w:gridCol w:w="1980"/>
        <w:gridCol w:w="1980"/>
        <w:gridCol w:w="2152"/>
        <w:gridCol w:w="1916"/>
      </w:tblGrid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  <w:b/>
                <w:i/>
              </w:rPr>
            </w:pPr>
            <w:r w:rsidRPr="004971C8">
              <w:rPr>
                <w:rFonts w:ascii="Times" w:hAnsi="Times"/>
                <w:b/>
                <w:i/>
              </w:rPr>
              <w:t>Total Number of</w:t>
            </w:r>
          </w:p>
          <w:p w:rsidR="00CE1CB1" w:rsidRPr="004971C8" w:rsidRDefault="00CE1CB1" w:rsidP="001513CF">
            <w:pPr>
              <w:jc w:val="both"/>
              <w:rPr>
                <w:rFonts w:ascii="Times" w:hAnsi="Times"/>
                <w:b/>
                <w:i/>
              </w:rPr>
            </w:pPr>
            <w:r w:rsidRPr="004971C8">
              <w:rPr>
                <w:rFonts w:ascii="Times" w:hAnsi="Times"/>
                <w:b/>
                <w:i/>
              </w:rPr>
              <w:t>Students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  <w:b/>
                <w:i/>
              </w:rPr>
            </w:pPr>
            <w:r w:rsidRPr="004971C8">
              <w:rPr>
                <w:rFonts w:ascii="Times" w:hAnsi="Times"/>
                <w:b/>
                <w:i/>
              </w:rPr>
              <w:t># of Students with Satisfactory Grade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  <w:b/>
                <w:i/>
              </w:rPr>
            </w:pPr>
            <w:r w:rsidRPr="004971C8">
              <w:rPr>
                <w:rFonts w:ascii="Times" w:hAnsi="Times"/>
                <w:b/>
                <w:i/>
              </w:rPr>
              <w:t># of Students with Unsatisfactory Grade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  <w:b/>
                <w:i/>
              </w:rPr>
            </w:pPr>
            <w:r w:rsidRPr="004971C8">
              <w:rPr>
                <w:rFonts w:ascii="Times" w:hAnsi="Times"/>
                <w:b/>
                <w:i/>
              </w:rPr>
              <w:t>Percent Satisfactory Grade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2003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128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13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115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10%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2004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98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10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88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10%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2004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161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25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136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16%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2005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113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41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72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36%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2005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182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77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105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42%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2006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89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55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34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62%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2006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142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53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89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37%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2007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82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52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30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63%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2007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126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80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46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63%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2008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76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59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17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78%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2008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481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317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164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66%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2009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320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155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165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48%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Fall 2009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580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291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289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50%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Spring 2010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289</w:t>
            </w:r>
          </w:p>
        </w:tc>
        <w:tc>
          <w:tcPr>
            <w:tcW w:w="1980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163</w:t>
            </w:r>
          </w:p>
        </w:tc>
        <w:tc>
          <w:tcPr>
            <w:tcW w:w="2152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126</w:t>
            </w:r>
          </w:p>
        </w:tc>
        <w:tc>
          <w:tcPr>
            <w:tcW w:w="1916" w:type="dxa"/>
          </w:tcPr>
          <w:p w:rsidR="00CE1CB1" w:rsidRPr="004971C8" w:rsidRDefault="00CE1CB1" w:rsidP="001513CF">
            <w:pPr>
              <w:jc w:val="both"/>
              <w:rPr>
                <w:rFonts w:ascii="Times" w:hAnsi="Times"/>
              </w:rPr>
            </w:pPr>
            <w:r w:rsidRPr="004971C8">
              <w:rPr>
                <w:rFonts w:ascii="Times" w:hAnsi="Times"/>
              </w:rPr>
              <w:t>56%</w:t>
            </w:r>
          </w:p>
        </w:tc>
      </w:tr>
      <w:tr w:rsidR="004B7D02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4B7D02" w:rsidRPr="004971C8" w:rsidRDefault="004B7D02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Fall 2010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B7D02" w:rsidRPr="004971C8" w:rsidRDefault="004B7D02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646</w:t>
            </w:r>
          </w:p>
        </w:tc>
        <w:tc>
          <w:tcPr>
            <w:tcW w:w="1980" w:type="dxa"/>
          </w:tcPr>
          <w:p w:rsidR="004B7D02" w:rsidRPr="004971C8" w:rsidRDefault="004B7D02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374</w:t>
            </w:r>
          </w:p>
        </w:tc>
        <w:tc>
          <w:tcPr>
            <w:tcW w:w="2152" w:type="dxa"/>
          </w:tcPr>
          <w:p w:rsidR="004B7D02" w:rsidRPr="004971C8" w:rsidRDefault="004B7D02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272</w:t>
            </w:r>
          </w:p>
        </w:tc>
        <w:tc>
          <w:tcPr>
            <w:tcW w:w="1916" w:type="dxa"/>
          </w:tcPr>
          <w:p w:rsidR="004B7D02" w:rsidRPr="004971C8" w:rsidRDefault="004B7D02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58%</w:t>
            </w:r>
          </w:p>
        </w:tc>
      </w:tr>
      <w:tr w:rsidR="00CE1CB1" w:rsidRPr="004971C8" w:rsidTr="00046CEE">
        <w:tc>
          <w:tcPr>
            <w:tcW w:w="1548" w:type="dxa"/>
            <w:tcBorders>
              <w:right w:val="double" w:sz="4" w:space="0" w:color="auto"/>
            </w:tcBorders>
          </w:tcPr>
          <w:p w:rsidR="00CE1CB1" w:rsidRPr="004971C8" w:rsidRDefault="00CE1CB1" w:rsidP="00685B99">
            <w:pPr>
              <w:jc w:val="both"/>
              <w:rPr>
                <w:rFonts w:ascii="Times" w:hAnsi="Times"/>
                <w:b/>
                <w:i/>
              </w:rPr>
            </w:pPr>
            <w:r w:rsidRPr="004971C8">
              <w:rPr>
                <w:rFonts w:ascii="Times" w:hAnsi="Times"/>
                <w:b/>
                <w:i/>
              </w:rPr>
              <w:t>1</w:t>
            </w:r>
            <w:r w:rsidR="00685B99">
              <w:rPr>
                <w:rFonts w:ascii="Times" w:hAnsi="Times"/>
                <w:b/>
                <w:i/>
              </w:rPr>
              <w:t>5</w:t>
            </w:r>
            <w:r w:rsidRPr="004971C8">
              <w:rPr>
                <w:rFonts w:ascii="Times" w:hAnsi="Times"/>
                <w:b/>
                <w:i/>
              </w:rPr>
              <w:t xml:space="preserve"> Semester Average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</w:tcPr>
          <w:p w:rsidR="00CE1CB1" w:rsidRPr="005C3FF2" w:rsidRDefault="005C3FF2" w:rsidP="001513CF">
            <w:pPr>
              <w:jc w:val="both"/>
              <w:rPr>
                <w:rFonts w:ascii="Times" w:hAnsi="Times"/>
              </w:rPr>
            </w:pPr>
            <w:r w:rsidRPr="005C3FF2">
              <w:rPr>
                <w:rFonts w:ascii="Times" w:hAnsi="Times"/>
              </w:rPr>
              <w:t>205</w:t>
            </w:r>
          </w:p>
        </w:tc>
        <w:tc>
          <w:tcPr>
            <w:tcW w:w="1980" w:type="dxa"/>
          </w:tcPr>
          <w:p w:rsidR="00CE1CB1" w:rsidRPr="004971C8" w:rsidRDefault="005C3FF2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99</w:t>
            </w:r>
          </w:p>
        </w:tc>
        <w:tc>
          <w:tcPr>
            <w:tcW w:w="2152" w:type="dxa"/>
          </w:tcPr>
          <w:p w:rsidR="00CE1CB1" w:rsidRPr="004971C8" w:rsidRDefault="00844410" w:rsidP="001513C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105</w:t>
            </w:r>
          </w:p>
        </w:tc>
        <w:tc>
          <w:tcPr>
            <w:tcW w:w="1916" w:type="dxa"/>
          </w:tcPr>
          <w:p w:rsidR="00CE1CB1" w:rsidRPr="00844410" w:rsidRDefault="00685B99" w:rsidP="006E15F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46</w:t>
            </w:r>
            <w:r w:rsidR="00844410" w:rsidRPr="00844410">
              <w:rPr>
                <w:rFonts w:ascii="Times" w:hAnsi="Times"/>
              </w:rPr>
              <w:t>%</w:t>
            </w:r>
          </w:p>
        </w:tc>
      </w:tr>
    </w:tbl>
    <w:p w:rsidR="008524E4" w:rsidRPr="004971C8" w:rsidRDefault="00CE1CB1" w:rsidP="001513CF">
      <w:pPr>
        <w:jc w:val="both"/>
        <w:rPr>
          <w:rFonts w:ascii="Times" w:hAnsi="Times"/>
        </w:rPr>
      </w:pPr>
      <w:r w:rsidRPr="004971C8">
        <w:rPr>
          <w:rFonts w:ascii="Times" w:hAnsi="Times"/>
        </w:rPr>
        <w:t xml:space="preserve">  </w:t>
      </w:r>
    </w:p>
    <w:p w:rsidR="00837D92" w:rsidRDefault="00685B99" w:rsidP="001513CF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Based on an increased grade </w:t>
      </w:r>
      <w:r w:rsidR="00796351" w:rsidRPr="00844410">
        <w:rPr>
          <w:rFonts w:ascii="Times" w:hAnsi="Times"/>
          <w:sz w:val="24"/>
          <w:szCs w:val="24"/>
        </w:rPr>
        <w:t xml:space="preserve">performance </w:t>
      </w:r>
      <w:r>
        <w:rPr>
          <w:rFonts w:ascii="Times" w:hAnsi="Times"/>
          <w:sz w:val="24"/>
          <w:szCs w:val="24"/>
        </w:rPr>
        <w:t xml:space="preserve">in </w:t>
      </w:r>
      <w:proofErr w:type="gramStart"/>
      <w:r>
        <w:rPr>
          <w:rFonts w:ascii="Times" w:hAnsi="Times"/>
          <w:sz w:val="24"/>
          <w:szCs w:val="24"/>
        </w:rPr>
        <w:t>Fall</w:t>
      </w:r>
      <w:proofErr w:type="gramEnd"/>
      <w:r>
        <w:rPr>
          <w:rFonts w:ascii="Times" w:hAnsi="Times"/>
          <w:sz w:val="24"/>
          <w:szCs w:val="24"/>
        </w:rPr>
        <w:t xml:space="preserve"> 2011</w:t>
      </w:r>
      <w:r w:rsidR="00844410">
        <w:rPr>
          <w:rFonts w:ascii="Times" w:hAnsi="Times"/>
          <w:sz w:val="24"/>
          <w:szCs w:val="24"/>
        </w:rPr>
        <w:t xml:space="preserve">, </w:t>
      </w:r>
      <w:r w:rsidR="00837D92" w:rsidRPr="009B3971">
        <w:rPr>
          <w:rFonts w:ascii="Times" w:hAnsi="Times"/>
          <w:sz w:val="24"/>
          <w:szCs w:val="24"/>
        </w:rPr>
        <w:t xml:space="preserve">the university anticipates continued growth </w:t>
      </w:r>
      <w:r w:rsidR="00844410" w:rsidRPr="00844410">
        <w:rPr>
          <w:rFonts w:ascii="Times" w:hAnsi="Times"/>
          <w:sz w:val="24"/>
          <w:szCs w:val="24"/>
        </w:rPr>
        <w:t>as a result of</w:t>
      </w:r>
      <w:r>
        <w:rPr>
          <w:rFonts w:ascii="Times" w:hAnsi="Times"/>
          <w:sz w:val="24"/>
          <w:szCs w:val="24"/>
        </w:rPr>
        <w:t xml:space="preserve"> the full implementation of Technology in Teaching, Mathematics Clinic and the peer Tutorial component</w:t>
      </w:r>
      <w:r w:rsidR="00837D92" w:rsidRPr="009B3971">
        <w:rPr>
          <w:rFonts w:ascii="Times" w:hAnsi="Times"/>
          <w:sz w:val="24"/>
          <w:szCs w:val="24"/>
        </w:rPr>
        <w:t xml:space="preserve">.  Overall, the </w:t>
      </w:r>
      <w:r w:rsidR="009B3971" w:rsidRPr="009B3971">
        <w:rPr>
          <w:rFonts w:ascii="Times" w:hAnsi="Times"/>
          <w:sz w:val="24"/>
          <w:szCs w:val="24"/>
        </w:rPr>
        <w:t xml:space="preserve">increase in </w:t>
      </w:r>
      <w:r>
        <w:rPr>
          <w:rFonts w:ascii="Times" w:hAnsi="Times"/>
          <w:sz w:val="24"/>
          <w:szCs w:val="24"/>
        </w:rPr>
        <w:t xml:space="preserve">the </w:t>
      </w:r>
      <w:proofErr w:type="gramStart"/>
      <w:r>
        <w:rPr>
          <w:rFonts w:ascii="Times" w:hAnsi="Times"/>
          <w:sz w:val="24"/>
          <w:szCs w:val="24"/>
        </w:rPr>
        <w:t>Fall</w:t>
      </w:r>
      <w:proofErr w:type="gramEnd"/>
      <w:r>
        <w:rPr>
          <w:rFonts w:ascii="Times" w:hAnsi="Times"/>
          <w:sz w:val="24"/>
          <w:szCs w:val="24"/>
        </w:rPr>
        <w:t xml:space="preserve"> 20</w:t>
      </w:r>
      <w:r w:rsidR="00EB575F" w:rsidRPr="00844410">
        <w:rPr>
          <w:rFonts w:ascii="Times" w:hAnsi="Times"/>
          <w:sz w:val="24"/>
          <w:szCs w:val="24"/>
        </w:rPr>
        <w:t xml:space="preserve">11 </w:t>
      </w:r>
      <w:r w:rsidR="00837D92" w:rsidRPr="009B3971">
        <w:rPr>
          <w:rFonts w:ascii="Times" w:hAnsi="Times"/>
          <w:sz w:val="24"/>
          <w:szCs w:val="24"/>
        </w:rPr>
        <w:t>average</w:t>
      </w:r>
      <w:r w:rsidR="009B3971" w:rsidRPr="009B3971">
        <w:rPr>
          <w:rFonts w:ascii="Times" w:hAnsi="Times"/>
          <w:sz w:val="24"/>
          <w:szCs w:val="24"/>
        </w:rPr>
        <w:t xml:space="preserve"> pass rate, along with evidence of the mathematics clinic participants’ higher grade point average support the institutional belief that student success is directly impacted by these initiatives. </w:t>
      </w:r>
    </w:p>
    <w:p w:rsidR="00796351" w:rsidRPr="009B3971" w:rsidRDefault="00796351" w:rsidP="00796351">
      <w:pPr>
        <w:jc w:val="both"/>
        <w:rPr>
          <w:rFonts w:ascii="Times" w:hAnsi="Times"/>
          <w:sz w:val="24"/>
          <w:szCs w:val="24"/>
        </w:rPr>
      </w:pPr>
      <w:r w:rsidRPr="00796351">
        <w:rPr>
          <w:rFonts w:ascii="Times" w:hAnsi="Times"/>
          <w:sz w:val="24"/>
          <w:szCs w:val="24"/>
        </w:rPr>
        <w:t>In conclusion,</w:t>
      </w:r>
      <w:r w:rsidRPr="009B3971">
        <w:rPr>
          <w:rFonts w:ascii="Times" w:hAnsi="Times"/>
          <w:sz w:val="24"/>
          <w:szCs w:val="24"/>
        </w:rPr>
        <w:t xml:space="preserve"> the implementation of the Quality Enhancement Plan initiatives </w:t>
      </w:r>
      <w:r w:rsidR="00685B99">
        <w:rPr>
          <w:rFonts w:ascii="Times" w:hAnsi="Times"/>
          <w:sz w:val="24"/>
          <w:szCs w:val="24"/>
        </w:rPr>
        <w:t>have strengthened student academic performance and fostered an environment which sustains</w:t>
      </w:r>
      <w:r w:rsidRPr="009B3971">
        <w:rPr>
          <w:rFonts w:ascii="Times" w:hAnsi="Times"/>
          <w:sz w:val="24"/>
          <w:szCs w:val="24"/>
        </w:rPr>
        <w:t xml:space="preserve"> continued awareness and </w:t>
      </w:r>
      <w:r w:rsidR="00685B99">
        <w:rPr>
          <w:rFonts w:ascii="Times" w:hAnsi="Times"/>
          <w:sz w:val="24"/>
          <w:szCs w:val="24"/>
        </w:rPr>
        <w:t>accessibility of resources.  Resources designed to</w:t>
      </w:r>
      <w:r w:rsidRPr="009B3971">
        <w:rPr>
          <w:rFonts w:ascii="Times" w:hAnsi="Times"/>
          <w:sz w:val="24"/>
          <w:szCs w:val="24"/>
        </w:rPr>
        <w:t xml:space="preserve"> produce long-term, consistent improvement in the mathematical skills and knowledge of students enrolled in Pre-Calculus I courses at Grambling State University.</w:t>
      </w:r>
    </w:p>
    <w:p w:rsidR="00796351" w:rsidRDefault="00796351" w:rsidP="001513CF">
      <w:pPr>
        <w:jc w:val="both"/>
        <w:rPr>
          <w:rFonts w:ascii="Times" w:hAnsi="Times"/>
          <w:sz w:val="24"/>
          <w:szCs w:val="24"/>
        </w:rPr>
      </w:pPr>
    </w:p>
    <w:p w:rsidR="00796351" w:rsidRPr="004971C8" w:rsidRDefault="00796351" w:rsidP="001513CF">
      <w:pPr>
        <w:jc w:val="both"/>
        <w:rPr>
          <w:rFonts w:ascii="Times" w:hAnsi="Times"/>
        </w:rPr>
      </w:pPr>
    </w:p>
    <w:sectPr w:rsidR="00796351" w:rsidRPr="004971C8" w:rsidSect="0045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35103"/>
    <w:rsid w:val="00003C5C"/>
    <w:rsid w:val="00033250"/>
    <w:rsid w:val="00086BD2"/>
    <w:rsid w:val="0009429E"/>
    <w:rsid w:val="000B7DED"/>
    <w:rsid w:val="000C49D9"/>
    <w:rsid w:val="000E7C0B"/>
    <w:rsid w:val="00144008"/>
    <w:rsid w:val="001513CF"/>
    <w:rsid w:val="00157B28"/>
    <w:rsid w:val="0019164D"/>
    <w:rsid w:val="001A1B5D"/>
    <w:rsid w:val="00237CB1"/>
    <w:rsid w:val="00286E1E"/>
    <w:rsid w:val="002D729B"/>
    <w:rsid w:val="00337EAA"/>
    <w:rsid w:val="00356B2F"/>
    <w:rsid w:val="0037565F"/>
    <w:rsid w:val="003F3C5C"/>
    <w:rsid w:val="004522A1"/>
    <w:rsid w:val="00453CC1"/>
    <w:rsid w:val="004911C4"/>
    <w:rsid w:val="004971C8"/>
    <w:rsid w:val="004B5DF6"/>
    <w:rsid w:val="004B7D02"/>
    <w:rsid w:val="004B7FFB"/>
    <w:rsid w:val="004E328F"/>
    <w:rsid w:val="005135F2"/>
    <w:rsid w:val="00537CE5"/>
    <w:rsid w:val="00564DEB"/>
    <w:rsid w:val="005C3FF2"/>
    <w:rsid w:val="005C5107"/>
    <w:rsid w:val="00663358"/>
    <w:rsid w:val="00677862"/>
    <w:rsid w:val="00685B99"/>
    <w:rsid w:val="006B09DE"/>
    <w:rsid w:val="006C5C81"/>
    <w:rsid w:val="006E15F8"/>
    <w:rsid w:val="0071746C"/>
    <w:rsid w:val="00722766"/>
    <w:rsid w:val="0072702E"/>
    <w:rsid w:val="00736127"/>
    <w:rsid w:val="00796351"/>
    <w:rsid w:val="007C56E9"/>
    <w:rsid w:val="007C5E04"/>
    <w:rsid w:val="00837D92"/>
    <w:rsid w:val="00844410"/>
    <w:rsid w:val="008524E4"/>
    <w:rsid w:val="00852A6C"/>
    <w:rsid w:val="00860834"/>
    <w:rsid w:val="00862180"/>
    <w:rsid w:val="00894DC3"/>
    <w:rsid w:val="008B001C"/>
    <w:rsid w:val="008F17A6"/>
    <w:rsid w:val="00944A42"/>
    <w:rsid w:val="0095090C"/>
    <w:rsid w:val="00977D08"/>
    <w:rsid w:val="009B3971"/>
    <w:rsid w:val="009C116C"/>
    <w:rsid w:val="009D1A67"/>
    <w:rsid w:val="00A034D0"/>
    <w:rsid w:val="00AA3705"/>
    <w:rsid w:val="00B02FD2"/>
    <w:rsid w:val="00B70F24"/>
    <w:rsid w:val="00BC530F"/>
    <w:rsid w:val="00BC5915"/>
    <w:rsid w:val="00C01E30"/>
    <w:rsid w:val="00C1414C"/>
    <w:rsid w:val="00C35103"/>
    <w:rsid w:val="00C4651C"/>
    <w:rsid w:val="00C9635B"/>
    <w:rsid w:val="00C96F73"/>
    <w:rsid w:val="00CE1CB1"/>
    <w:rsid w:val="00D121AA"/>
    <w:rsid w:val="00D21323"/>
    <w:rsid w:val="00DB4F7B"/>
    <w:rsid w:val="00E10F02"/>
    <w:rsid w:val="00E57972"/>
    <w:rsid w:val="00EB575F"/>
    <w:rsid w:val="00EE2715"/>
    <w:rsid w:val="00F76A42"/>
    <w:rsid w:val="00F96600"/>
    <w:rsid w:val="00FB19AE"/>
    <w:rsid w:val="00FC527C"/>
    <w:rsid w:val="00FD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C2BF-E440-4E2E-9AD5-7ECA453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</dc:creator>
  <cp:keywords/>
  <dc:description/>
  <cp:lastModifiedBy>hardisons</cp:lastModifiedBy>
  <cp:revision>2</cp:revision>
  <dcterms:created xsi:type="dcterms:W3CDTF">2012-04-03T21:59:00Z</dcterms:created>
  <dcterms:modified xsi:type="dcterms:W3CDTF">2012-04-03T21:59:00Z</dcterms:modified>
</cp:coreProperties>
</file>