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A4" w:rsidRPr="00E118A4" w:rsidRDefault="00E118A4" w:rsidP="00E118A4">
      <w:pPr>
        <w:rPr>
          <w:rStyle w:val="Strong"/>
          <w:rFonts w:ascii="Times New Roman" w:hAnsi="Times New Roman" w:cs="Times New Roman"/>
          <w:bCs w:val="0"/>
          <w:color w:val="FF0000"/>
          <w:sz w:val="24"/>
          <w:szCs w:val="24"/>
        </w:rPr>
      </w:pPr>
      <w:r w:rsidRPr="00E118A4">
        <w:rPr>
          <w:rStyle w:val="Strong"/>
          <w:rFonts w:ascii="Times New Roman" w:hAnsi="Times New Roman" w:cs="Times New Roman"/>
          <w:bCs w:val="0"/>
          <w:color w:val="FF0000"/>
          <w:sz w:val="24"/>
          <w:szCs w:val="24"/>
        </w:rPr>
        <w:t>Measure 1: Impact on P-12 Learning and Development</w:t>
      </w:r>
    </w:p>
    <w:p w:rsidR="003E144B" w:rsidRPr="003E144B" w:rsidRDefault="003E144B" w:rsidP="00E118A4">
      <w:pPr>
        <w:rPr>
          <w:rStyle w:val="Strong"/>
          <w:rFonts w:ascii="Times New Roman" w:hAnsi="Times New Roman" w:cs="Times New Roman"/>
          <w:b w:val="0"/>
          <w:bCs w:val="0"/>
          <w:sz w:val="24"/>
          <w:szCs w:val="24"/>
        </w:rPr>
      </w:pPr>
      <w:r w:rsidRPr="003E144B">
        <w:rPr>
          <w:rFonts w:ascii="Times New Roman" w:hAnsi="Times New Roman" w:cs="Times New Roman"/>
          <w:color w:val="000000"/>
          <w:sz w:val="24"/>
          <w:szCs w:val="24"/>
        </w:rPr>
        <w:t xml:space="preserve">As reflected in the data, candidates understand and use multiple methods of assessment to engage learners in their own growth, to document learner progress, and to guide the </w:t>
      </w:r>
      <w:proofErr w:type="gramStart"/>
      <w:r w:rsidRPr="003E144B">
        <w:rPr>
          <w:rFonts w:ascii="Times New Roman" w:hAnsi="Times New Roman" w:cs="Times New Roman"/>
          <w:color w:val="000000"/>
          <w:sz w:val="24"/>
          <w:szCs w:val="24"/>
        </w:rPr>
        <w:t>teacher’s</w:t>
      </w:r>
      <w:proofErr w:type="gramEnd"/>
      <w:r w:rsidRPr="003E144B">
        <w:rPr>
          <w:rFonts w:ascii="Times New Roman" w:hAnsi="Times New Roman" w:cs="Times New Roman"/>
          <w:color w:val="000000"/>
          <w:sz w:val="24"/>
          <w:szCs w:val="24"/>
        </w:rPr>
        <w:t xml:space="preserve"> and learner’s decision making. </w:t>
      </w:r>
      <w:proofErr w:type="gramStart"/>
      <w:r w:rsidRPr="003E144B">
        <w:rPr>
          <w:rFonts w:ascii="Times New Roman" w:hAnsi="Times New Roman" w:cs="Times New Roman"/>
          <w:color w:val="000000"/>
          <w:sz w:val="24"/>
          <w:szCs w:val="24"/>
        </w:rPr>
        <w:t>In Spring 2018, 50% of the candidates received a rating of “Effective: Proficient (3)” on Required Rubric Elements and 50% received a rating of “Effective: Emerging (2)”; Assessment Design, and 38% of the candidates received a rating of “Effective: Proficient (3)” and 50% received a rating of “Effective: Emerging (2)”.On the element Data Analysis, 63% of the candidates received a rating of “Effective: Emerging (2)” and 63% received a rating of “Effective: Proficient (3)”.</w:t>
      </w:r>
      <w:proofErr w:type="gramEnd"/>
      <w:r w:rsidRPr="003E144B">
        <w:rPr>
          <w:rFonts w:ascii="Times New Roman" w:hAnsi="Times New Roman" w:cs="Times New Roman"/>
          <w:color w:val="000000"/>
          <w:sz w:val="24"/>
          <w:szCs w:val="24"/>
        </w:rPr>
        <w:t xml:space="preserve"> Additionally, 63% of the candidates received a rating of “Effective: Proficient and 38% received a rating of “Effective: Emerging (2)”. Data showed that 63% of the candidates received a rating of “Effective: Proficient (3)” on Alignment and 38% of the candidates received a rating of “Effective: Emerging (2)” on this element. On the element, Using Assessment in Instruction, 63% of the candidates received a rating of “Effective: Proficient (3)” and 38% of the candidates received a rating of “Effective: Emerging (2)”. On the element Interpreting Results, 63% of the candidates received a rating of “Effective: Proficient (3)” and 38% received a rating of “Effective: Emerging (2)”. The candidates’ performance ratings substantiate their ability to understand and use multiple methods of assessment to engage learners in their own growth, to document learner progress, and to guide the teacher’s and learner’s decision making to meet the academic needs of all students. Based on these results, teacher candidates </w:t>
      </w:r>
      <w:proofErr w:type="gramStart"/>
      <w:r w:rsidRPr="003E144B">
        <w:rPr>
          <w:rFonts w:ascii="Times New Roman" w:hAnsi="Times New Roman" w:cs="Times New Roman"/>
          <w:color w:val="000000"/>
          <w:sz w:val="24"/>
          <w:szCs w:val="24"/>
        </w:rPr>
        <w:t>were provided</w:t>
      </w:r>
      <w:proofErr w:type="gramEnd"/>
      <w:r w:rsidRPr="003E144B">
        <w:rPr>
          <w:rFonts w:ascii="Times New Roman" w:hAnsi="Times New Roman" w:cs="Times New Roman"/>
          <w:color w:val="000000"/>
          <w:sz w:val="24"/>
          <w:szCs w:val="24"/>
        </w:rPr>
        <w:t xml:space="preserve"> opportunities for professional development workshops and student teaching/residency seminars that focus on improving their performance on the InTASC Assessment standards. However, because overall, 80% of the candidates scored Effective: Emerging on all elements of the rubric, results show that improvement </w:t>
      </w:r>
      <w:proofErr w:type="gramStart"/>
      <w:r w:rsidRPr="003E144B">
        <w:rPr>
          <w:rFonts w:ascii="Times New Roman" w:hAnsi="Times New Roman" w:cs="Times New Roman"/>
          <w:color w:val="000000"/>
          <w:sz w:val="24"/>
          <w:szCs w:val="24"/>
        </w:rPr>
        <w:t>is needed</w:t>
      </w:r>
      <w:proofErr w:type="gramEnd"/>
      <w:r w:rsidRPr="003E144B">
        <w:rPr>
          <w:rFonts w:ascii="Times New Roman" w:hAnsi="Times New Roman" w:cs="Times New Roman"/>
          <w:color w:val="000000"/>
          <w:sz w:val="24"/>
          <w:szCs w:val="24"/>
        </w:rPr>
        <w:t xml:space="preserve"> in in the area of Using Assessment in Instruction.</w:t>
      </w:r>
    </w:p>
    <w:p w:rsidR="00200A65" w:rsidRPr="00200A65" w:rsidRDefault="00E118A4" w:rsidP="00202A48">
      <w:pPr>
        <w:rPr>
          <w:rFonts w:ascii="Times New Roman" w:hAnsi="Times New Roman" w:cs="Times New Roman"/>
          <w:color w:val="FF0000"/>
          <w:sz w:val="24"/>
          <w:szCs w:val="24"/>
        </w:rPr>
      </w:pPr>
      <w:r w:rsidRPr="00E118A4">
        <w:rPr>
          <w:rStyle w:val="Strong"/>
          <w:rFonts w:ascii="Times New Roman" w:hAnsi="Times New Roman" w:cs="Times New Roman"/>
          <w:bCs w:val="0"/>
          <w:color w:val="FF0000"/>
          <w:sz w:val="24"/>
          <w:szCs w:val="24"/>
        </w:rPr>
        <w:t>Measure 2: Indicators of Teaching Effectiveness</w:t>
      </w:r>
    </w:p>
    <w:p w:rsidR="00200A65" w:rsidRDefault="00200A65" w:rsidP="00200A65">
      <w:pPr>
        <w:rPr>
          <w:rFonts w:ascii="Times New Roman" w:hAnsi="Times New Roman"/>
          <w:b/>
          <w:sz w:val="24"/>
          <w:szCs w:val="24"/>
        </w:rPr>
      </w:pPr>
      <w:r>
        <w:rPr>
          <w:rFonts w:ascii="Times New Roman" w:hAnsi="Times New Roman"/>
          <w:b/>
          <w:sz w:val="24"/>
          <w:szCs w:val="24"/>
        </w:rPr>
        <w:t xml:space="preserve">Assessment #4 </w:t>
      </w:r>
      <w:r w:rsidRPr="0024277F">
        <w:rPr>
          <w:rFonts w:ascii="Times New Roman" w:hAnsi="Times New Roman"/>
          <w:b/>
          <w:sz w:val="24"/>
          <w:szCs w:val="24"/>
        </w:rPr>
        <w:t>Evaluation of Student Teachers</w:t>
      </w:r>
    </w:p>
    <w:p w:rsidR="00200A65" w:rsidRPr="00200A65" w:rsidRDefault="00200A65" w:rsidP="00200A65">
      <w:pPr>
        <w:rPr>
          <w:rFonts w:ascii="Times New Roman" w:hAnsi="Times New Roman"/>
          <w:b/>
          <w:sz w:val="24"/>
          <w:szCs w:val="24"/>
        </w:rPr>
      </w:pPr>
      <w:r>
        <w:rPr>
          <w:rFonts w:ascii="Times New Roman" w:hAnsi="Times New Roman"/>
          <w:b/>
          <w:sz w:val="24"/>
          <w:szCs w:val="24"/>
        </w:rPr>
        <w:t>Spring 2018</w:t>
      </w:r>
    </w:p>
    <w:p w:rsidR="00200A65" w:rsidRDefault="00200A65" w:rsidP="00200A65">
      <w:pPr>
        <w:pStyle w:val="ListParagraph"/>
        <w:numPr>
          <w:ilvl w:val="0"/>
          <w:numId w:val="4"/>
        </w:numPr>
        <w:spacing w:before="100" w:after="100"/>
        <w:rPr>
          <w:rFonts w:eastAsia="ヒラギノ角ゴ Pro W3"/>
          <w:color w:val="000000"/>
        </w:rPr>
      </w:pPr>
      <w:r>
        <w:rPr>
          <w:rFonts w:eastAsia="ヒラギノ角ゴ Pro W3"/>
          <w:color w:val="000000"/>
        </w:rPr>
        <w:t>A  Brief  description of the Student Teaching Evaluation and how it is used in the program</w:t>
      </w:r>
    </w:p>
    <w:p w:rsidR="00200A65" w:rsidRDefault="00200A65" w:rsidP="00200A65">
      <w:pPr>
        <w:rPr>
          <w:rFonts w:ascii="Times New Roman" w:hAnsi="Times New Roman"/>
          <w:sz w:val="24"/>
          <w:szCs w:val="24"/>
        </w:rPr>
      </w:pPr>
      <w:r>
        <w:rPr>
          <w:rFonts w:ascii="Times New Roman" w:eastAsia="ヒラギノ角ゴ Pro W3" w:hAnsi="Times New Roman"/>
          <w:color w:val="000000"/>
          <w:sz w:val="24"/>
          <w:szCs w:val="24"/>
        </w:rPr>
        <w:t xml:space="preserve">The Teacher Preparation Program (TPP) in the Department of Curriculum and Instruction at Grambling State University </w:t>
      </w:r>
      <w:proofErr w:type="gramStart"/>
      <w:r>
        <w:rPr>
          <w:rFonts w:ascii="Times New Roman" w:eastAsia="ヒラギノ角ゴ Pro W3" w:hAnsi="Times New Roman"/>
          <w:color w:val="000000"/>
          <w:sz w:val="24"/>
          <w:szCs w:val="24"/>
        </w:rPr>
        <w:t>is designed</w:t>
      </w:r>
      <w:proofErr w:type="gramEnd"/>
      <w:r>
        <w:rPr>
          <w:rFonts w:ascii="Times New Roman" w:eastAsia="ヒラギノ角ゴ Pro W3" w:hAnsi="Times New Roman"/>
          <w:color w:val="000000"/>
          <w:sz w:val="24"/>
          <w:szCs w:val="24"/>
        </w:rPr>
        <w:t xml:space="preserve"> to focus on preparing teachers to effectively facilitate learning in PK-12 settings. The successful teacher candidate must demonstrate proficiencies as content scholars, facilitators of learning, and nurturers of affective behaviors. During student teaching clinical practice, teacher candidates </w:t>
      </w:r>
      <w:proofErr w:type="gramStart"/>
      <w:r>
        <w:rPr>
          <w:rFonts w:ascii="Times New Roman" w:eastAsia="ヒラギノ角ゴ Pro W3" w:hAnsi="Times New Roman"/>
          <w:color w:val="000000"/>
          <w:sz w:val="24"/>
          <w:szCs w:val="24"/>
        </w:rPr>
        <w:t>are assessed</w:t>
      </w:r>
      <w:proofErr w:type="gramEnd"/>
      <w:r>
        <w:rPr>
          <w:rFonts w:ascii="Times New Roman" w:eastAsia="ヒラギノ角ゴ Pro W3" w:hAnsi="Times New Roman"/>
          <w:color w:val="000000"/>
          <w:sz w:val="24"/>
          <w:szCs w:val="24"/>
        </w:rPr>
        <w:t xml:space="preserve"> on pedagogical and professional knowledge, skills, and dispositions using an instrument based on the Louisiana Components of Effective Teaching and the Danielson Rubric.  During </w:t>
      </w:r>
      <w:proofErr w:type="gramStart"/>
      <w:r>
        <w:rPr>
          <w:rFonts w:ascii="Times New Roman" w:eastAsia="ヒラギノ角ゴ Pro W3" w:hAnsi="Times New Roman"/>
          <w:color w:val="000000"/>
          <w:sz w:val="24"/>
          <w:szCs w:val="24"/>
        </w:rPr>
        <w:t>2017-2018</w:t>
      </w:r>
      <w:proofErr w:type="gramEnd"/>
      <w:r>
        <w:rPr>
          <w:rFonts w:ascii="Times New Roman" w:eastAsia="ヒラギノ角ゴ Pro W3" w:hAnsi="Times New Roman"/>
          <w:color w:val="000000"/>
          <w:sz w:val="24"/>
          <w:szCs w:val="24"/>
        </w:rPr>
        <w:t xml:space="preserve"> the Student Teaching Evaluation was divided into five main sections: Domain I-Planning; Domain II- Management; Domain III- Instruction; IV- Professional Development; and Domain V-Technology.</w:t>
      </w:r>
    </w:p>
    <w:p w:rsidR="00200A65" w:rsidRDefault="00200A65" w:rsidP="00200A65">
      <w:pPr>
        <w:rPr>
          <w:rFonts w:ascii="Times New Roman" w:hAnsi="Times New Roman"/>
          <w:sz w:val="24"/>
          <w:szCs w:val="24"/>
        </w:rPr>
      </w:pPr>
      <w:r>
        <w:rPr>
          <w:rFonts w:ascii="Times New Roman" w:eastAsia="ヒラギノ角ゴ Pro W3" w:hAnsi="Times New Roman"/>
          <w:color w:val="000000"/>
          <w:sz w:val="24"/>
          <w:szCs w:val="24"/>
        </w:rPr>
        <w:t xml:space="preserve">The observation and evaluation rubric </w:t>
      </w:r>
      <w:proofErr w:type="gramStart"/>
      <w:r>
        <w:rPr>
          <w:rFonts w:ascii="Times New Roman" w:eastAsia="ヒラギノ角ゴ Pro W3" w:hAnsi="Times New Roman"/>
          <w:color w:val="000000"/>
          <w:sz w:val="24"/>
          <w:szCs w:val="24"/>
        </w:rPr>
        <w:t>is aligned</w:t>
      </w:r>
      <w:proofErr w:type="gramEnd"/>
      <w:r>
        <w:rPr>
          <w:rFonts w:ascii="Times New Roman" w:eastAsia="ヒラギノ角ゴ Pro W3" w:hAnsi="Times New Roman"/>
          <w:color w:val="000000"/>
          <w:sz w:val="24"/>
          <w:szCs w:val="24"/>
        </w:rPr>
        <w:t xml:space="preserve"> with the ACEI standards, the State of Louisiana Teacher Preparation Competencies, and best practices research findings.  The Special Education addendum </w:t>
      </w:r>
      <w:proofErr w:type="gramStart"/>
      <w:r>
        <w:rPr>
          <w:rFonts w:ascii="Times New Roman" w:eastAsia="ヒラギノ角ゴ Pro W3" w:hAnsi="Times New Roman"/>
          <w:color w:val="000000"/>
          <w:sz w:val="24"/>
          <w:szCs w:val="24"/>
        </w:rPr>
        <w:t>is aligned</w:t>
      </w:r>
      <w:proofErr w:type="gramEnd"/>
      <w:r>
        <w:rPr>
          <w:rFonts w:ascii="Times New Roman" w:eastAsia="ヒラギノ角ゴ Pro W3" w:hAnsi="Times New Roman"/>
          <w:color w:val="000000"/>
          <w:sz w:val="24"/>
          <w:szCs w:val="24"/>
        </w:rPr>
        <w:t xml:space="preserve"> with the CEC Standards.   The </w:t>
      </w:r>
      <w:r w:rsidRPr="00B34936">
        <w:rPr>
          <w:rFonts w:ascii="Times New Roman" w:eastAsia="ヒラギノ角ゴ Pro W3" w:hAnsi="Times New Roman"/>
          <w:color w:val="000000"/>
          <w:sz w:val="24"/>
          <w:szCs w:val="24"/>
        </w:rPr>
        <w:t>Teacher Candidate Evaluation Rubric</w:t>
      </w:r>
      <w:r>
        <w:rPr>
          <w:rFonts w:ascii="Times New Roman" w:eastAsia="ヒラギノ角ゴ Pro W3" w:hAnsi="Times New Roman"/>
          <w:b/>
          <w:color w:val="000000"/>
          <w:sz w:val="24"/>
          <w:szCs w:val="24"/>
        </w:rPr>
        <w:t xml:space="preserve"> </w:t>
      </w:r>
      <w:proofErr w:type="gramStart"/>
      <w:r>
        <w:rPr>
          <w:rFonts w:ascii="Times New Roman" w:eastAsia="ヒラギノ角ゴ Pro W3" w:hAnsi="Times New Roman"/>
          <w:color w:val="000000"/>
          <w:sz w:val="24"/>
          <w:szCs w:val="24"/>
        </w:rPr>
        <w:t xml:space="preserve">was </w:t>
      </w:r>
      <w:r>
        <w:rPr>
          <w:rFonts w:ascii="Times New Roman" w:eastAsia="ヒラギノ角ゴ Pro W3" w:hAnsi="Times New Roman"/>
          <w:color w:val="000000"/>
          <w:sz w:val="24"/>
          <w:szCs w:val="24"/>
        </w:rPr>
        <w:lastRenderedPageBreak/>
        <w:t>revised</w:t>
      </w:r>
      <w:proofErr w:type="gramEnd"/>
      <w:r>
        <w:rPr>
          <w:rFonts w:ascii="Times New Roman" w:eastAsia="ヒラギノ角ゴ Pro W3" w:hAnsi="Times New Roman"/>
          <w:color w:val="000000"/>
          <w:sz w:val="24"/>
          <w:szCs w:val="24"/>
        </w:rPr>
        <w:t xml:space="preserve"> in 2018. It was adapted from the </w:t>
      </w:r>
      <w:r>
        <w:rPr>
          <w:rFonts w:ascii="Times New Roman" w:eastAsia="ヒラギノ角ゴ Pro W3" w:hAnsi="Times New Roman"/>
          <w:i/>
          <w:color w:val="000000"/>
          <w:sz w:val="24"/>
          <w:szCs w:val="24"/>
        </w:rPr>
        <w:t>Compass-Complete Framework for Teaching Instrument</w:t>
      </w:r>
      <w:r>
        <w:rPr>
          <w:rFonts w:ascii="Times New Roman" w:eastAsia="ヒラギノ角ゴ Pro W3" w:hAnsi="Times New Roman"/>
          <w:color w:val="000000"/>
          <w:sz w:val="24"/>
          <w:szCs w:val="24"/>
        </w:rPr>
        <w:t xml:space="preserve">, (2013). Candidates </w:t>
      </w:r>
      <w:proofErr w:type="gramStart"/>
      <w:r>
        <w:rPr>
          <w:rFonts w:ascii="Times New Roman" w:eastAsia="ヒラギノ角ゴ Pro W3" w:hAnsi="Times New Roman"/>
          <w:color w:val="000000"/>
          <w:sz w:val="24"/>
          <w:szCs w:val="24"/>
        </w:rPr>
        <w:t>are observed</w:t>
      </w:r>
      <w:proofErr w:type="gramEnd"/>
      <w:r>
        <w:rPr>
          <w:rFonts w:ascii="Times New Roman" w:eastAsia="ヒラギノ角ゴ Pro W3" w:hAnsi="Times New Roman"/>
          <w:color w:val="000000"/>
          <w:sz w:val="24"/>
          <w:szCs w:val="24"/>
        </w:rPr>
        <w:t xml:space="preserve"> and evaluated a minimum of two times by cooperating teachers and university supervisors.  </w:t>
      </w:r>
    </w:p>
    <w:p w:rsidR="00200A65" w:rsidRDefault="00200A65" w:rsidP="00200A65">
      <w:pPr>
        <w:rPr>
          <w:rFonts w:ascii="Times New Roman" w:hAnsi="Times New Roman"/>
          <w:sz w:val="24"/>
          <w:szCs w:val="24"/>
        </w:rPr>
      </w:pPr>
    </w:p>
    <w:p w:rsidR="00200A65" w:rsidRDefault="00200A65" w:rsidP="00200A65">
      <w:pPr>
        <w:rPr>
          <w:rFonts w:ascii="Times New Roman" w:hAnsi="Times New Roman"/>
          <w:sz w:val="24"/>
          <w:szCs w:val="24"/>
        </w:rPr>
      </w:pPr>
      <w:r w:rsidRPr="007A10F5">
        <w:rPr>
          <w:rFonts w:ascii="Times New Roman" w:hAnsi="Times New Roman"/>
          <w:sz w:val="24"/>
          <w:szCs w:val="24"/>
        </w:rPr>
        <w:t xml:space="preserve">Candidate Evaluations </w:t>
      </w:r>
    </w:p>
    <w:p w:rsidR="00200A65" w:rsidRDefault="00200A65" w:rsidP="00200A65">
      <w:pPr>
        <w:rPr>
          <w:rFonts w:ascii="Times New Roman" w:hAnsi="Times New Roman"/>
          <w:sz w:val="24"/>
          <w:szCs w:val="24"/>
        </w:rPr>
      </w:pPr>
      <w:proofErr w:type="gramStart"/>
      <w:r w:rsidRPr="007A10F5">
        <w:rPr>
          <w:rFonts w:ascii="Times New Roman" w:hAnsi="Times New Roman"/>
          <w:sz w:val="24"/>
          <w:szCs w:val="24"/>
        </w:rPr>
        <w:t xml:space="preserve">Student Teachers </w:t>
      </w:r>
      <w:r>
        <w:rPr>
          <w:rFonts w:ascii="Times New Roman" w:hAnsi="Times New Roman"/>
          <w:sz w:val="24"/>
          <w:szCs w:val="24"/>
        </w:rPr>
        <w:t>are</w:t>
      </w:r>
      <w:r w:rsidRPr="007A10F5">
        <w:rPr>
          <w:rFonts w:ascii="Times New Roman" w:hAnsi="Times New Roman"/>
          <w:sz w:val="24"/>
          <w:szCs w:val="24"/>
        </w:rPr>
        <w:t xml:space="preserve"> evaluated by Cooperating Teach</w:t>
      </w:r>
      <w:r>
        <w:rPr>
          <w:rFonts w:ascii="Times New Roman" w:hAnsi="Times New Roman"/>
          <w:sz w:val="24"/>
          <w:szCs w:val="24"/>
        </w:rPr>
        <w:t xml:space="preserve">ers and University Supervisors </w:t>
      </w:r>
      <w:r w:rsidRPr="007A10F5">
        <w:rPr>
          <w:rFonts w:ascii="Times New Roman" w:hAnsi="Times New Roman"/>
          <w:sz w:val="24"/>
          <w:szCs w:val="24"/>
        </w:rPr>
        <w:t>using the Danielson Compass Rubric</w:t>
      </w:r>
      <w:proofErr w:type="gramEnd"/>
    </w:p>
    <w:p w:rsidR="00200A65" w:rsidRPr="007A10F5" w:rsidRDefault="00200A65" w:rsidP="00200A65">
      <w:pPr>
        <w:rPr>
          <w:rFonts w:ascii="Times New Roman" w:hAnsi="Times New Roman"/>
          <w:sz w:val="24"/>
          <w:szCs w:val="24"/>
        </w:rPr>
      </w:pPr>
      <w:r w:rsidRPr="007A10F5">
        <w:rPr>
          <w:rFonts w:ascii="Times New Roman" w:hAnsi="Times New Roman"/>
          <w:sz w:val="24"/>
          <w:szCs w:val="24"/>
        </w:rPr>
        <w:t xml:space="preserve">Mid-term evaluations are formal and result in the recommendation of a letter grade from university supervisors and cooperating teachers.  These evaluations </w:t>
      </w:r>
      <w:proofErr w:type="gramStart"/>
      <w:r w:rsidRPr="007A10F5">
        <w:rPr>
          <w:rFonts w:ascii="Times New Roman" w:hAnsi="Times New Roman"/>
          <w:sz w:val="24"/>
          <w:szCs w:val="24"/>
        </w:rPr>
        <w:t>are followed</w:t>
      </w:r>
      <w:proofErr w:type="gramEnd"/>
      <w:r w:rsidRPr="007A10F5">
        <w:rPr>
          <w:rFonts w:ascii="Times New Roman" w:hAnsi="Times New Roman"/>
          <w:sz w:val="24"/>
          <w:szCs w:val="24"/>
        </w:rPr>
        <w:t xml:space="preserve"> by additional practice time; therefore, areas in need of remediation can be addressed.  Mid-term evaluations are discussed </w:t>
      </w:r>
      <w:proofErr w:type="gramStart"/>
      <w:r w:rsidRPr="007A10F5">
        <w:rPr>
          <w:rFonts w:ascii="Times New Roman" w:hAnsi="Times New Roman"/>
          <w:sz w:val="24"/>
          <w:szCs w:val="24"/>
        </w:rPr>
        <w:t>with and signed by the student teacher</w:t>
      </w:r>
      <w:proofErr w:type="gramEnd"/>
      <w:r w:rsidRPr="007A10F5">
        <w:rPr>
          <w:rFonts w:ascii="Times New Roman" w:hAnsi="Times New Roman"/>
          <w:sz w:val="24"/>
          <w:szCs w:val="24"/>
        </w:rPr>
        <w:t xml:space="preserve"> and sent to the Office of Profes</w:t>
      </w:r>
      <w:r>
        <w:rPr>
          <w:rFonts w:ascii="Times New Roman" w:hAnsi="Times New Roman"/>
          <w:sz w:val="24"/>
          <w:szCs w:val="24"/>
        </w:rPr>
        <w:t xml:space="preserve">sional Laboratory Experiences. </w:t>
      </w:r>
    </w:p>
    <w:p w:rsidR="00200A65" w:rsidRDefault="00200A65" w:rsidP="00200A65">
      <w:pPr>
        <w:rPr>
          <w:rFonts w:ascii="Times New Roman" w:hAnsi="Times New Roman"/>
          <w:sz w:val="24"/>
          <w:szCs w:val="24"/>
        </w:rPr>
      </w:pPr>
      <w:r w:rsidRPr="007A10F5">
        <w:rPr>
          <w:rFonts w:ascii="Times New Roman" w:hAnsi="Times New Roman"/>
          <w:sz w:val="24"/>
          <w:szCs w:val="24"/>
        </w:rPr>
        <w:t xml:space="preserve">Final Evaluations.  The cooperating teacher and the university supervisor complete a final evaluation and Dispositions Inventory of each assigned student teacher at the end of the student teaching period.  Both the cooperating teacher and the university supervisor recommend a letter grade.  Conferences with the student teacher </w:t>
      </w:r>
      <w:proofErr w:type="gramStart"/>
      <w:r w:rsidRPr="007A10F5">
        <w:rPr>
          <w:rFonts w:ascii="Times New Roman" w:hAnsi="Times New Roman"/>
          <w:sz w:val="24"/>
          <w:szCs w:val="24"/>
        </w:rPr>
        <w:t>should be conducted</w:t>
      </w:r>
      <w:proofErr w:type="gramEnd"/>
      <w:r w:rsidRPr="007A10F5">
        <w:rPr>
          <w:rFonts w:ascii="Times New Roman" w:hAnsi="Times New Roman"/>
          <w:sz w:val="24"/>
          <w:szCs w:val="24"/>
        </w:rPr>
        <w:t xml:space="preserve"> prior to submitting the grade to give the student teacher an opportunity to discuss the report.  Student teachers are required to sign the form to verify that they have had the opportunity to discuss the report with the cooperating teacher and the university supervisor.  The ED 445 Course Requirements for final grades </w:t>
      </w:r>
      <w:proofErr w:type="gramStart"/>
      <w:r w:rsidRPr="007A10F5">
        <w:rPr>
          <w:rFonts w:ascii="Times New Roman" w:hAnsi="Times New Roman"/>
          <w:sz w:val="24"/>
          <w:szCs w:val="24"/>
        </w:rPr>
        <w:t>are detailed</w:t>
      </w:r>
      <w:proofErr w:type="gramEnd"/>
      <w:r w:rsidRPr="007A10F5">
        <w:rPr>
          <w:rFonts w:ascii="Times New Roman" w:hAnsi="Times New Roman"/>
          <w:sz w:val="24"/>
          <w:szCs w:val="24"/>
        </w:rPr>
        <w:t xml:space="preserve"> in the course syllabus.</w:t>
      </w:r>
    </w:p>
    <w:p w:rsidR="00200A65" w:rsidRDefault="00200A65">
      <w:pP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br w:type="page"/>
      </w:r>
    </w:p>
    <w:p w:rsidR="00200A65" w:rsidRDefault="00200A65" w:rsidP="00200A65">
      <w:pPr>
        <w:rPr>
          <w:rFonts w:ascii="Times New Roman" w:eastAsia="ヒラギノ角ゴ Pro W3" w:hAnsi="Times New Roman"/>
          <w:b/>
          <w:color w:val="000000"/>
          <w:sz w:val="24"/>
          <w:szCs w:val="24"/>
        </w:rPr>
        <w:sectPr w:rsidR="00200A65" w:rsidSect="00200A65">
          <w:pgSz w:w="12240" w:h="15840"/>
          <w:pgMar w:top="1440" w:right="1440" w:bottom="1440" w:left="1440" w:header="720" w:footer="720" w:gutter="0"/>
          <w:cols w:space="720"/>
          <w:docGrid w:linePitch="360"/>
        </w:sectPr>
      </w:pPr>
    </w:p>
    <w:p w:rsidR="00200A65" w:rsidRPr="00200A65" w:rsidRDefault="00200A65" w:rsidP="00200A65">
      <w:pPr>
        <w:rPr>
          <w:rFonts w:ascii="Times New Roman" w:eastAsia="ヒラギノ角ゴ Pro W3" w:hAnsi="Times New Roman"/>
          <w:b/>
          <w:color w:val="000000"/>
          <w:sz w:val="24"/>
          <w:szCs w:val="24"/>
        </w:rPr>
      </w:pPr>
      <w:proofErr w:type="gramStart"/>
      <w:r>
        <w:rPr>
          <w:rFonts w:ascii="Times New Roman" w:eastAsia="ヒラギノ角ゴ Pro W3" w:hAnsi="Times New Roman"/>
          <w:b/>
          <w:color w:val="000000"/>
          <w:sz w:val="24"/>
          <w:szCs w:val="24"/>
        </w:rPr>
        <w:lastRenderedPageBreak/>
        <w:t xml:space="preserve">2.  A description or how this assessment specifically </w:t>
      </w:r>
      <w:r>
        <w:rPr>
          <w:rFonts w:ascii="Times New Roman" w:eastAsia="ヒラギノ角ゴ Pro W3" w:hAnsi="Times New Roman"/>
          <w:b/>
          <w:color w:val="000000"/>
          <w:sz w:val="24"/>
          <w:szCs w:val="24"/>
        </w:rPr>
        <w:t>aligns with the ACEI standards</w:t>
      </w:r>
      <w:proofErr w:type="gramEnd"/>
      <w:r>
        <w:rPr>
          <w:rFonts w:ascii="Times New Roman" w:eastAsia="ヒラギノ角ゴ Pro W3" w:hAnsi="Times New Roman"/>
          <w:b/>
          <w:color w:val="000000"/>
          <w:sz w:val="24"/>
          <w:szCs w:val="24"/>
        </w:rPr>
        <w:t xml:space="preserve"> </w:t>
      </w:r>
    </w:p>
    <w:p w:rsidR="00200A65" w:rsidRPr="00DB1225" w:rsidRDefault="00200A65" w:rsidP="00200A65">
      <w:pPr>
        <w:pStyle w:val="NoSpacing"/>
        <w:rPr>
          <w:rFonts w:ascii="Times New Roman" w:hAnsi="Times New Roman"/>
          <w:sz w:val="24"/>
          <w:szCs w:val="24"/>
        </w:rPr>
      </w:pPr>
      <w:r>
        <w:rPr>
          <w:rFonts w:ascii="Times New Roman" w:hAnsi="Times New Roman"/>
          <w:sz w:val="24"/>
          <w:szCs w:val="24"/>
        </w:rPr>
        <w:t xml:space="preserve">Assessment 4 chart provides an alignment of each item on the rubric with the standards.  </w:t>
      </w:r>
    </w:p>
    <w:p w:rsidR="00200A65" w:rsidRDefault="00200A65" w:rsidP="00200A65"/>
    <w:p w:rsidR="00200A65" w:rsidRDefault="00200A65" w:rsidP="00200A65">
      <w:pPr>
        <w:rPr>
          <w:rFonts w:ascii="Baskerville Old Face" w:hAnsi="Baskerville Old Face"/>
          <w:i/>
          <w:sz w:val="28"/>
        </w:rPr>
      </w:pPr>
      <w:r>
        <w:rPr>
          <w:rFonts w:ascii="Baskerville Old Face" w:hAnsi="Baskerville Old Face"/>
          <w:i/>
          <w:sz w:val="28"/>
        </w:rPr>
        <w:t>Assessment #4 Teacher Candidate Evaluation/LA Compass Results</w:t>
      </w:r>
    </w:p>
    <w:p w:rsidR="00200A65" w:rsidRDefault="00200A65" w:rsidP="00200A65">
      <w:pPr>
        <w:rPr>
          <w:rFonts w:ascii="Baskerville Old Face" w:hAnsi="Baskerville Old Face"/>
          <w:sz w:val="28"/>
          <w:u w:val="single"/>
        </w:rPr>
      </w:pPr>
      <w:r>
        <w:rPr>
          <w:rFonts w:ascii="Baskerville Old Face" w:hAnsi="Baskerville Old Face"/>
          <w:sz w:val="28"/>
        </w:rPr>
        <w:t xml:space="preserve">SEMESTER:  </w:t>
      </w:r>
      <w:r>
        <w:rPr>
          <w:rFonts w:ascii="Baskerville Old Face" w:hAnsi="Baskerville Old Face"/>
          <w:sz w:val="28"/>
          <w:u w:val="single"/>
        </w:rPr>
        <w:t>Spring 2018</w:t>
      </w:r>
    </w:p>
    <w:p w:rsidR="00200A65" w:rsidRDefault="00200A65" w:rsidP="00200A65">
      <w:pPr>
        <w:rPr>
          <w:u w:val="single"/>
        </w:rPr>
      </w:pPr>
    </w:p>
    <w:tbl>
      <w:tblPr>
        <w:tblW w:w="143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8"/>
        <w:gridCol w:w="449"/>
        <w:gridCol w:w="539"/>
        <w:gridCol w:w="540"/>
        <w:gridCol w:w="540"/>
        <w:gridCol w:w="630"/>
        <w:gridCol w:w="450"/>
        <w:gridCol w:w="540"/>
        <w:gridCol w:w="450"/>
        <w:gridCol w:w="540"/>
        <w:gridCol w:w="450"/>
        <w:gridCol w:w="450"/>
        <w:gridCol w:w="360"/>
        <w:gridCol w:w="450"/>
        <w:gridCol w:w="360"/>
        <w:gridCol w:w="360"/>
        <w:gridCol w:w="360"/>
        <w:gridCol w:w="450"/>
        <w:gridCol w:w="360"/>
        <w:gridCol w:w="450"/>
        <w:gridCol w:w="450"/>
        <w:gridCol w:w="2194"/>
      </w:tblGrid>
      <w:tr w:rsidR="00200A65" w:rsidRPr="00200A65" w:rsidTr="00A87169">
        <w:trPr>
          <w:trHeight w:val="124"/>
        </w:trPr>
        <w:tc>
          <w:tcPr>
            <w:tcW w:w="2970" w:type="dxa"/>
            <w:vMerge w:val="restart"/>
            <w:tcBorders>
              <w:top w:val="single" w:sz="4" w:space="0" w:color="000000"/>
              <w:left w:val="single" w:sz="4" w:space="0" w:color="000000"/>
              <w:bottom w:val="single" w:sz="18" w:space="0" w:color="000000"/>
              <w:right w:val="single" w:sz="4" w:space="0" w:color="000000"/>
            </w:tcBorders>
          </w:tcPr>
          <w:p w:rsidR="00200A65" w:rsidRPr="00200A65" w:rsidRDefault="00200A65" w:rsidP="00200A65">
            <w:pPr>
              <w:pStyle w:val="NoSpacing"/>
              <w:rPr>
                <w:sz w:val="16"/>
                <w:szCs w:val="16"/>
              </w:rPr>
            </w:pPr>
            <w:r w:rsidRPr="00200A65">
              <w:rPr>
                <w:sz w:val="16"/>
                <w:szCs w:val="16"/>
              </w:rPr>
              <w:t>Danielson Domains</w:t>
            </w:r>
          </w:p>
        </w:tc>
        <w:tc>
          <w:tcPr>
            <w:tcW w:w="2070" w:type="dxa"/>
            <w:gridSpan w:val="4"/>
            <w:tcBorders>
              <w:top w:val="single" w:sz="4" w:space="0" w:color="000000"/>
              <w:left w:val="single" w:sz="4" w:space="0" w:color="000000"/>
              <w:bottom w:val="single" w:sz="4" w:space="0" w:color="000000"/>
              <w:right w:val="single" w:sz="4" w:space="0" w:color="000000"/>
            </w:tcBorders>
          </w:tcPr>
          <w:p w:rsidR="00200A65" w:rsidRPr="00200A65" w:rsidRDefault="00200A65" w:rsidP="00200A65">
            <w:pPr>
              <w:pStyle w:val="NoSpacing"/>
              <w:rPr>
                <w:i/>
                <w:sz w:val="16"/>
                <w:szCs w:val="16"/>
              </w:rPr>
            </w:pPr>
            <w:r w:rsidRPr="00200A65">
              <w:rPr>
                <w:i/>
                <w:sz w:val="16"/>
                <w:szCs w:val="16"/>
              </w:rPr>
              <w:t>Domain 1C</w:t>
            </w:r>
          </w:p>
          <w:p w:rsidR="00200A65" w:rsidRPr="00200A65" w:rsidRDefault="00200A65" w:rsidP="00200A65">
            <w:pPr>
              <w:pStyle w:val="NoSpacing"/>
              <w:rPr>
                <w:i/>
                <w:sz w:val="16"/>
                <w:szCs w:val="16"/>
              </w:rPr>
            </w:pPr>
          </w:p>
          <w:p w:rsidR="00200A65" w:rsidRPr="00200A65" w:rsidRDefault="00200A65" w:rsidP="00200A65">
            <w:pPr>
              <w:pStyle w:val="NoSpacing"/>
              <w:rPr>
                <w:i/>
                <w:sz w:val="16"/>
                <w:szCs w:val="16"/>
              </w:rPr>
            </w:pPr>
            <w:r w:rsidRPr="00200A65">
              <w:rPr>
                <w:i/>
                <w:sz w:val="16"/>
                <w:szCs w:val="16"/>
              </w:rPr>
              <w:t>Setting Instructional Outcomes</w:t>
            </w:r>
          </w:p>
          <w:p w:rsidR="00200A65" w:rsidRPr="00200A65" w:rsidRDefault="00200A65" w:rsidP="00200A65">
            <w:pPr>
              <w:pStyle w:val="NoSpacing"/>
              <w:rPr>
                <w:i/>
                <w:sz w:val="16"/>
                <w:szCs w:val="16"/>
              </w:rPr>
            </w:pPr>
            <w:proofErr w:type="spellStart"/>
            <w:r w:rsidRPr="00200A65">
              <w:rPr>
                <w:i/>
                <w:sz w:val="16"/>
                <w:szCs w:val="16"/>
              </w:rPr>
              <w:t>InTASC</w:t>
            </w:r>
            <w:proofErr w:type="spellEnd"/>
            <w:r w:rsidRPr="00200A65">
              <w:rPr>
                <w:i/>
                <w:sz w:val="16"/>
                <w:szCs w:val="16"/>
              </w:rPr>
              <w:t xml:space="preserve"> 6,7</w:t>
            </w:r>
          </w:p>
          <w:p w:rsidR="00200A65" w:rsidRPr="00200A65" w:rsidRDefault="00200A65" w:rsidP="00200A65">
            <w:pPr>
              <w:pStyle w:val="NoSpacing"/>
              <w:rPr>
                <w:i/>
                <w:sz w:val="16"/>
                <w:szCs w:val="16"/>
              </w:rPr>
            </w:pPr>
            <w:r w:rsidRPr="00200A65">
              <w:rPr>
                <w:i/>
                <w:sz w:val="16"/>
                <w:szCs w:val="16"/>
              </w:rPr>
              <w:t>SHAPE 4</w:t>
            </w:r>
          </w:p>
          <w:p w:rsidR="00200A65" w:rsidRPr="00200A65" w:rsidRDefault="00200A65" w:rsidP="00200A65">
            <w:pPr>
              <w:pStyle w:val="NoSpacing"/>
              <w:rPr>
                <w:i/>
                <w:sz w:val="16"/>
                <w:szCs w:val="16"/>
              </w:rPr>
            </w:pPr>
            <w:r w:rsidRPr="00200A65">
              <w:rPr>
                <w:i/>
                <w:sz w:val="16"/>
                <w:szCs w:val="16"/>
              </w:rPr>
              <w:t>ACEI 3.1; 3.2</w:t>
            </w:r>
          </w:p>
          <w:p w:rsidR="00200A65" w:rsidRPr="00200A65" w:rsidRDefault="00200A65" w:rsidP="00200A65">
            <w:pPr>
              <w:pStyle w:val="NoSpacing"/>
              <w:rPr>
                <w:i/>
                <w:sz w:val="16"/>
                <w:szCs w:val="16"/>
              </w:rPr>
            </w:pPr>
            <w:r w:rsidRPr="00200A65">
              <w:rPr>
                <w:i/>
                <w:sz w:val="16"/>
                <w:szCs w:val="16"/>
              </w:rPr>
              <w:t>CEC</w:t>
            </w:r>
          </w:p>
        </w:tc>
        <w:tc>
          <w:tcPr>
            <w:tcW w:w="2070" w:type="dxa"/>
            <w:gridSpan w:val="4"/>
            <w:tcBorders>
              <w:top w:val="single" w:sz="4" w:space="0" w:color="000000"/>
              <w:left w:val="single" w:sz="4" w:space="0" w:color="000000"/>
              <w:bottom w:val="single" w:sz="4" w:space="0" w:color="000000"/>
              <w:right w:val="single" w:sz="4" w:space="0" w:color="000000"/>
            </w:tcBorders>
          </w:tcPr>
          <w:p w:rsidR="00200A65" w:rsidRPr="00200A65" w:rsidRDefault="00200A65" w:rsidP="00200A65">
            <w:pPr>
              <w:pStyle w:val="NoSpacing"/>
              <w:rPr>
                <w:i/>
                <w:sz w:val="16"/>
                <w:szCs w:val="16"/>
              </w:rPr>
            </w:pPr>
            <w:r w:rsidRPr="00200A65">
              <w:rPr>
                <w:i/>
                <w:sz w:val="16"/>
                <w:szCs w:val="16"/>
              </w:rPr>
              <w:t>Domain 2C</w:t>
            </w:r>
          </w:p>
          <w:p w:rsidR="00200A65" w:rsidRPr="00200A65" w:rsidRDefault="00200A65" w:rsidP="00200A65">
            <w:pPr>
              <w:pStyle w:val="NoSpacing"/>
              <w:rPr>
                <w:i/>
                <w:sz w:val="16"/>
                <w:szCs w:val="16"/>
              </w:rPr>
            </w:pPr>
          </w:p>
          <w:p w:rsidR="00200A65" w:rsidRPr="00200A65" w:rsidRDefault="00200A65" w:rsidP="00200A65">
            <w:pPr>
              <w:pStyle w:val="NoSpacing"/>
              <w:rPr>
                <w:i/>
                <w:sz w:val="16"/>
                <w:szCs w:val="16"/>
              </w:rPr>
            </w:pPr>
            <w:r w:rsidRPr="00200A65">
              <w:rPr>
                <w:i/>
                <w:sz w:val="16"/>
                <w:szCs w:val="16"/>
              </w:rPr>
              <w:t>Managing Classroom Procedures</w:t>
            </w:r>
          </w:p>
          <w:p w:rsidR="00200A65" w:rsidRPr="00200A65" w:rsidRDefault="00200A65" w:rsidP="00200A65">
            <w:pPr>
              <w:pStyle w:val="NoSpacing"/>
              <w:rPr>
                <w:i/>
                <w:sz w:val="16"/>
                <w:szCs w:val="16"/>
              </w:rPr>
            </w:pPr>
            <w:proofErr w:type="spellStart"/>
            <w:r w:rsidRPr="00200A65">
              <w:rPr>
                <w:i/>
                <w:sz w:val="16"/>
                <w:szCs w:val="16"/>
              </w:rPr>
              <w:t>InTASC</w:t>
            </w:r>
            <w:proofErr w:type="spellEnd"/>
            <w:r w:rsidRPr="00200A65">
              <w:rPr>
                <w:i/>
                <w:sz w:val="16"/>
                <w:szCs w:val="16"/>
              </w:rPr>
              <w:t xml:space="preserve"> 3</w:t>
            </w:r>
          </w:p>
          <w:p w:rsidR="00200A65" w:rsidRPr="00200A65" w:rsidRDefault="00200A65" w:rsidP="00200A65">
            <w:pPr>
              <w:pStyle w:val="NoSpacing"/>
              <w:rPr>
                <w:i/>
                <w:sz w:val="16"/>
                <w:szCs w:val="16"/>
              </w:rPr>
            </w:pPr>
            <w:r w:rsidRPr="00200A65">
              <w:rPr>
                <w:i/>
                <w:sz w:val="16"/>
                <w:szCs w:val="16"/>
              </w:rPr>
              <w:t>SHAPE 4</w:t>
            </w:r>
          </w:p>
          <w:p w:rsidR="00200A65" w:rsidRPr="00200A65" w:rsidRDefault="00200A65" w:rsidP="00200A65">
            <w:pPr>
              <w:pStyle w:val="NoSpacing"/>
              <w:rPr>
                <w:i/>
                <w:sz w:val="16"/>
                <w:szCs w:val="16"/>
              </w:rPr>
            </w:pPr>
            <w:r w:rsidRPr="00200A65">
              <w:rPr>
                <w:i/>
                <w:sz w:val="16"/>
                <w:szCs w:val="16"/>
              </w:rPr>
              <w:t>ACEI 5.1</w:t>
            </w:r>
          </w:p>
          <w:p w:rsidR="00200A65" w:rsidRPr="00200A65" w:rsidRDefault="00200A65" w:rsidP="00200A65">
            <w:pPr>
              <w:pStyle w:val="NoSpacing"/>
              <w:rPr>
                <w:i/>
                <w:sz w:val="16"/>
                <w:szCs w:val="16"/>
              </w:rPr>
            </w:pPr>
            <w:r w:rsidRPr="00200A65">
              <w:rPr>
                <w:i/>
                <w:sz w:val="16"/>
                <w:szCs w:val="16"/>
              </w:rPr>
              <w:t>CEC</w:t>
            </w:r>
          </w:p>
        </w:tc>
        <w:tc>
          <w:tcPr>
            <w:tcW w:w="1800" w:type="dxa"/>
            <w:gridSpan w:val="4"/>
            <w:tcBorders>
              <w:top w:val="single" w:sz="4" w:space="0" w:color="000000"/>
              <w:left w:val="single" w:sz="4" w:space="0" w:color="000000"/>
              <w:bottom w:val="single" w:sz="4" w:space="0" w:color="000000"/>
              <w:right w:val="single" w:sz="4" w:space="0" w:color="000000"/>
            </w:tcBorders>
          </w:tcPr>
          <w:p w:rsidR="00200A65" w:rsidRPr="00200A65" w:rsidRDefault="00200A65" w:rsidP="00200A65">
            <w:pPr>
              <w:pStyle w:val="NoSpacing"/>
              <w:rPr>
                <w:i/>
                <w:sz w:val="16"/>
                <w:szCs w:val="16"/>
              </w:rPr>
            </w:pPr>
            <w:r w:rsidRPr="00200A65">
              <w:rPr>
                <w:i/>
                <w:sz w:val="16"/>
                <w:szCs w:val="16"/>
              </w:rPr>
              <w:t>Domain 3B</w:t>
            </w:r>
          </w:p>
          <w:p w:rsidR="00200A65" w:rsidRPr="00200A65" w:rsidRDefault="00200A65" w:rsidP="00200A65">
            <w:pPr>
              <w:pStyle w:val="NoSpacing"/>
              <w:rPr>
                <w:i/>
                <w:sz w:val="16"/>
                <w:szCs w:val="16"/>
              </w:rPr>
            </w:pPr>
          </w:p>
          <w:p w:rsidR="00200A65" w:rsidRPr="00200A65" w:rsidRDefault="00200A65" w:rsidP="00200A65">
            <w:pPr>
              <w:pStyle w:val="NoSpacing"/>
              <w:rPr>
                <w:i/>
                <w:sz w:val="16"/>
                <w:szCs w:val="16"/>
              </w:rPr>
            </w:pPr>
            <w:r w:rsidRPr="00200A65">
              <w:rPr>
                <w:i/>
                <w:sz w:val="16"/>
                <w:szCs w:val="16"/>
              </w:rPr>
              <w:t>Using Questioning/Prompts and Discussion</w:t>
            </w:r>
          </w:p>
          <w:p w:rsidR="00200A65" w:rsidRPr="00200A65" w:rsidRDefault="00200A65" w:rsidP="00200A65">
            <w:pPr>
              <w:pStyle w:val="NoSpacing"/>
              <w:rPr>
                <w:i/>
                <w:sz w:val="16"/>
                <w:szCs w:val="16"/>
              </w:rPr>
            </w:pPr>
            <w:proofErr w:type="spellStart"/>
            <w:r w:rsidRPr="00200A65">
              <w:rPr>
                <w:i/>
                <w:sz w:val="16"/>
                <w:szCs w:val="16"/>
              </w:rPr>
              <w:t>InTASC</w:t>
            </w:r>
            <w:proofErr w:type="spellEnd"/>
            <w:r w:rsidRPr="00200A65">
              <w:rPr>
                <w:i/>
                <w:sz w:val="16"/>
                <w:szCs w:val="16"/>
              </w:rPr>
              <w:t xml:space="preserve"> 5,7,8</w:t>
            </w:r>
          </w:p>
          <w:p w:rsidR="00200A65" w:rsidRPr="00200A65" w:rsidRDefault="00200A65" w:rsidP="00200A65">
            <w:pPr>
              <w:pStyle w:val="NoSpacing"/>
              <w:rPr>
                <w:i/>
                <w:sz w:val="16"/>
                <w:szCs w:val="16"/>
              </w:rPr>
            </w:pPr>
            <w:r w:rsidRPr="00200A65">
              <w:rPr>
                <w:i/>
                <w:sz w:val="16"/>
                <w:szCs w:val="16"/>
              </w:rPr>
              <w:t>SHAPE 4</w:t>
            </w:r>
          </w:p>
          <w:p w:rsidR="00200A65" w:rsidRPr="00200A65" w:rsidRDefault="00200A65" w:rsidP="00200A65">
            <w:pPr>
              <w:pStyle w:val="NoSpacing"/>
              <w:rPr>
                <w:i/>
                <w:sz w:val="16"/>
                <w:szCs w:val="16"/>
              </w:rPr>
            </w:pPr>
            <w:r w:rsidRPr="00200A65">
              <w:rPr>
                <w:i/>
                <w:sz w:val="16"/>
                <w:szCs w:val="16"/>
              </w:rPr>
              <w:t>ACEI 3.3</w:t>
            </w:r>
          </w:p>
          <w:p w:rsidR="00200A65" w:rsidRPr="00200A65" w:rsidRDefault="00200A65" w:rsidP="00200A65">
            <w:pPr>
              <w:pStyle w:val="NoSpacing"/>
              <w:rPr>
                <w:i/>
                <w:sz w:val="16"/>
                <w:szCs w:val="16"/>
              </w:rPr>
            </w:pPr>
            <w:r w:rsidRPr="00200A65">
              <w:rPr>
                <w:i/>
                <w:sz w:val="16"/>
                <w:szCs w:val="16"/>
              </w:rPr>
              <w:t>CEC</w:t>
            </w:r>
          </w:p>
          <w:p w:rsidR="00200A65" w:rsidRPr="00200A65" w:rsidRDefault="00200A65" w:rsidP="00200A65">
            <w:pPr>
              <w:pStyle w:val="NoSpacing"/>
              <w:rPr>
                <w:i/>
                <w:sz w:val="16"/>
                <w:szCs w:val="16"/>
              </w:rPr>
            </w:pPr>
          </w:p>
          <w:p w:rsidR="00200A65" w:rsidRPr="00200A65" w:rsidRDefault="00200A65" w:rsidP="00200A65">
            <w:pPr>
              <w:pStyle w:val="NoSpacing"/>
              <w:rPr>
                <w:i/>
                <w:sz w:val="16"/>
                <w:szCs w:val="16"/>
              </w:rPr>
            </w:pPr>
          </w:p>
        </w:tc>
        <w:tc>
          <w:tcPr>
            <w:tcW w:w="1530" w:type="dxa"/>
            <w:gridSpan w:val="4"/>
            <w:tcBorders>
              <w:top w:val="single" w:sz="4" w:space="0" w:color="000000"/>
              <w:left w:val="single" w:sz="4" w:space="0" w:color="000000"/>
              <w:bottom w:val="single" w:sz="4" w:space="0" w:color="000000"/>
              <w:right w:val="single" w:sz="4" w:space="0" w:color="000000"/>
            </w:tcBorders>
            <w:hideMark/>
          </w:tcPr>
          <w:p w:rsidR="00200A65" w:rsidRPr="00200A65" w:rsidRDefault="00200A65" w:rsidP="00200A65">
            <w:pPr>
              <w:pStyle w:val="NoSpacing"/>
              <w:rPr>
                <w:i/>
                <w:sz w:val="16"/>
                <w:szCs w:val="16"/>
              </w:rPr>
            </w:pPr>
            <w:r w:rsidRPr="00200A65">
              <w:rPr>
                <w:i/>
                <w:sz w:val="16"/>
                <w:szCs w:val="16"/>
              </w:rPr>
              <w:t>Domain 3C</w:t>
            </w:r>
          </w:p>
          <w:p w:rsidR="00200A65" w:rsidRPr="00200A65" w:rsidRDefault="00200A65" w:rsidP="00200A65">
            <w:pPr>
              <w:pStyle w:val="NoSpacing"/>
              <w:rPr>
                <w:i/>
                <w:sz w:val="16"/>
                <w:szCs w:val="16"/>
              </w:rPr>
            </w:pPr>
            <w:r w:rsidRPr="00200A65">
              <w:rPr>
                <w:i/>
                <w:sz w:val="16"/>
                <w:szCs w:val="16"/>
              </w:rPr>
              <w:t>Engaging Students in Learning</w:t>
            </w:r>
          </w:p>
          <w:p w:rsidR="00200A65" w:rsidRPr="00200A65" w:rsidRDefault="00200A65" w:rsidP="00200A65">
            <w:pPr>
              <w:pStyle w:val="NoSpacing"/>
              <w:rPr>
                <w:i/>
                <w:sz w:val="16"/>
                <w:szCs w:val="16"/>
              </w:rPr>
            </w:pPr>
            <w:proofErr w:type="spellStart"/>
            <w:r w:rsidRPr="00200A65">
              <w:rPr>
                <w:i/>
                <w:sz w:val="16"/>
                <w:szCs w:val="16"/>
              </w:rPr>
              <w:t>InTASC</w:t>
            </w:r>
            <w:proofErr w:type="spellEnd"/>
            <w:r w:rsidRPr="00200A65">
              <w:rPr>
                <w:i/>
                <w:sz w:val="16"/>
                <w:szCs w:val="16"/>
              </w:rPr>
              <w:t xml:space="preserve"> 5,7,8</w:t>
            </w:r>
          </w:p>
          <w:p w:rsidR="00200A65" w:rsidRPr="00200A65" w:rsidRDefault="00200A65" w:rsidP="00200A65">
            <w:pPr>
              <w:pStyle w:val="NoSpacing"/>
              <w:rPr>
                <w:i/>
                <w:sz w:val="16"/>
                <w:szCs w:val="16"/>
              </w:rPr>
            </w:pPr>
            <w:r w:rsidRPr="00200A65">
              <w:rPr>
                <w:i/>
                <w:sz w:val="16"/>
                <w:szCs w:val="16"/>
              </w:rPr>
              <w:t>SHAPE 4</w:t>
            </w:r>
          </w:p>
          <w:p w:rsidR="00200A65" w:rsidRPr="00200A65" w:rsidRDefault="00200A65" w:rsidP="00200A65">
            <w:pPr>
              <w:pStyle w:val="NoSpacing"/>
              <w:rPr>
                <w:i/>
                <w:sz w:val="16"/>
                <w:szCs w:val="16"/>
              </w:rPr>
            </w:pPr>
            <w:r w:rsidRPr="00200A65">
              <w:rPr>
                <w:i/>
                <w:sz w:val="16"/>
                <w:szCs w:val="16"/>
              </w:rPr>
              <w:t>ACEI 3.4</w:t>
            </w:r>
          </w:p>
          <w:p w:rsidR="00200A65" w:rsidRPr="00200A65" w:rsidRDefault="00200A65" w:rsidP="00200A65">
            <w:pPr>
              <w:pStyle w:val="NoSpacing"/>
              <w:rPr>
                <w:i/>
                <w:sz w:val="16"/>
                <w:szCs w:val="16"/>
              </w:rPr>
            </w:pPr>
            <w:r w:rsidRPr="00200A65">
              <w:rPr>
                <w:i/>
                <w:sz w:val="16"/>
                <w:szCs w:val="16"/>
              </w:rPr>
              <w:t>CEC</w:t>
            </w:r>
          </w:p>
        </w:tc>
        <w:tc>
          <w:tcPr>
            <w:tcW w:w="1710" w:type="dxa"/>
            <w:gridSpan w:val="4"/>
            <w:tcBorders>
              <w:top w:val="single" w:sz="4" w:space="0" w:color="000000"/>
              <w:left w:val="single" w:sz="4" w:space="0" w:color="000000"/>
              <w:bottom w:val="single" w:sz="4" w:space="0" w:color="000000"/>
              <w:right w:val="single" w:sz="4" w:space="0" w:color="000000"/>
            </w:tcBorders>
          </w:tcPr>
          <w:p w:rsidR="00200A65" w:rsidRPr="00200A65" w:rsidRDefault="00200A65" w:rsidP="00200A65">
            <w:pPr>
              <w:pStyle w:val="NoSpacing"/>
              <w:rPr>
                <w:i/>
                <w:sz w:val="16"/>
                <w:szCs w:val="16"/>
              </w:rPr>
            </w:pPr>
            <w:r w:rsidRPr="00200A65">
              <w:rPr>
                <w:i/>
                <w:sz w:val="16"/>
                <w:szCs w:val="16"/>
              </w:rPr>
              <w:t>Domain 3D</w:t>
            </w:r>
          </w:p>
          <w:p w:rsidR="00200A65" w:rsidRPr="00200A65" w:rsidRDefault="00200A65" w:rsidP="00200A65">
            <w:pPr>
              <w:pStyle w:val="NoSpacing"/>
              <w:rPr>
                <w:i/>
                <w:sz w:val="16"/>
                <w:szCs w:val="16"/>
              </w:rPr>
            </w:pPr>
          </w:p>
          <w:p w:rsidR="00200A65" w:rsidRPr="00200A65" w:rsidRDefault="00200A65" w:rsidP="00200A65">
            <w:pPr>
              <w:pStyle w:val="NoSpacing"/>
              <w:rPr>
                <w:i/>
                <w:sz w:val="16"/>
                <w:szCs w:val="16"/>
              </w:rPr>
            </w:pPr>
            <w:r w:rsidRPr="00200A65">
              <w:rPr>
                <w:i/>
                <w:sz w:val="16"/>
                <w:szCs w:val="16"/>
              </w:rPr>
              <w:t>Using Assessment in Instruction</w:t>
            </w:r>
          </w:p>
          <w:p w:rsidR="00200A65" w:rsidRPr="00200A65" w:rsidRDefault="00200A65" w:rsidP="00200A65">
            <w:pPr>
              <w:pStyle w:val="NoSpacing"/>
              <w:rPr>
                <w:i/>
                <w:sz w:val="16"/>
                <w:szCs w:val="16"/>
              </w:rPr>
            </w:pPr>
            <w:proofErr w:type="spellStart"/>
            <w:r w:rsidRPr="00200A65">
              <w:rPr>
                <w:i/>
                <w:sz w:val="16"/>
                <w:szCs w:val="16"/>
              </w:rPr>
              <w:t>InTASC</w:t>
            </w:r>
            <w:proofErr w:type="spellEnd"/>
            <w:r w:rsidRPr="00200A65">
              <w:rPr>
                <w:i/>
                <w:sz w:val="16"/>
                <w:szCs w:val="16"/>
              </w:rPr>
              <w:t xml:space="preserve"> 6</w:t>
            </w:r>
          </w:p>
          <w:p w:rsidR="00200A65" w:rsidRPr="00200A65" w:rsidRDefault="00200A65" w:rsidP="00200A65">
            <w:pPr>
              <w:pStyle w:val="NoSpacing"/>
              <w:rPr>
                <w:i/>
                <w:sz w:val="16"/>
                <w:szCs w:val="16"/>
              </w:rPr>
            </w:pPr>
            <w:r w:rsidRPr="00200A65">
              <w:rPr>
                <w:i/>
                <w:sz w:val="16"/>
                <w:szCs w:val="16"/>
              </w:rPr>
              <w:t>SHAPE 5</w:t>
            </w:r>
          </w:p>
          <w:p w:rsidR="00200A65" w:rsidRPr="00200A65" w:rsidRDefault="00200A65" w:rsidP="00200A65">
            <w:pPr>
              <w:pStyle w:val="NoSpacing"/>
              <w:rPr>
                <w:i/>
                <w:sz w:val="16"/>
                <w:szCs w:val="16"/>
              </w:rPr>
            </w:pPr>
            <w:r w:rsidRPr="00200A65">
              <w:rPr>
                <w:i/>
                <w:sz w:val="16"/>
                <w:szCs w:val="16"/>
              </w:rPr>
              <w:t>ACEI 3.5</w:t>
            </w:r>
          </w:p>
          <w:p w:rsidR="00200A65" w:rsidRPr="00200A65" w:rsidRDefault="00200A65" w:rsidP="00200A65">
            <w:pPr>
              <w:pStyle w:val="NoSpacing"/>
              <w:rPr>
                <w:i/>
                <w:sz w:val="16"/>
                <w:szCs w:val="16"/>
              </w:rPr>
            </w:pPr>
            <w:r w:rsidRPr="00200A65">
              <w:rPr>
                <w:i/>
                <w:sz w:val="16"/>
                <w:szCs w:val="16"/>
              </w:rPr>
              <w:t>CEC</w:t>
            </w:r>
          </w:p>
        </w:tc>
        <w:tc>
          <w:tcPr>
            <w:tcW w:w="2195" w:type="dxa"/>
            <w:tcBorders>
              <w:top w:val="single" w:sz="4" w:space="0" w:color="000000"/>
              <w:left w:val="single" w:sz="4" w:space="0" w:color="000000"/>
              <w:bottom w:val="single" w:sz="4" w:space="0" w:color="000000"/>
              <w:right w:val="single" w:sz="4" w:space="0" w:color="000000"/>
            </w:tcBorders>
            <w:hideMark/>
          </w:tcPr>
          <w:p w:rsidR="00200A65" w:rsidRPr="00200A65" w:rsidRDefault="00200A65" w:rsidP="00200A65">
            <w:pPr>
              <w:pStyle w:val="NoSpacing"/>
              <w:rPr>
                <w:i/>
                <w:sz w:val="16"/>
                <w:szCs w:val="16"/>
              </w:rPr>
            </w:pPr>
            <w:r w:rsidRPr="00200A65">
              <w:rPr>
                <w:i/>
                <w:sz w:val="16"/>
                <w:szCs w:val="16"/>
              </w:rPr>
              <w:t>COMMENTS</w:t>
            </w:r>
          </w:p>
        </w:tc>
      </w:tr>
      <w:tr w:rsidR="00200A65" w:rsidRPr="00200A65" w:rsidTr="00A87169">
        <w:trPr>
          <w:trHeight w:val="185"/>
        </w:trPr>
        <w:tc>
          <w:tcPr>
            <w:tcW w:w="2970" w:type="dxa"/>
            <w:vMerge/>
            <w:tcBorders>
              <w:top w:val="single" w:sz="4" w:space="0" w:color="000000"/>
              <w:left w:val="single" w:sz="4" w:space="0" w:color="000000"/>
              <w:bottom w:val="single" w:sz="18" w:space="0" w:color="000000"/>
              <w:right w:val="single" w:sz="4" w:space="0" w:color="000000"/>
            </w:tcBorders>
            <w:vAlign w:val="center"/>
            <w:hideMark/>
          </w:tcPr>
          <w:p w:rsidR="00200A65" w:rsidRPr="00200A65" w:rsidRDefault="00200A65" w:rsidP="00200A65">
            <w:pPr>
              <w:pStyle w:val="NoSpacing"/>
              <w:rPr>
                <w:sz w:val="16"/>
                <w:szCs w:val="16"/>
              </w:rPr>
            </w:pPr>
          </w:p>
        </w:tc>
        <w:tc>
          <w:tcPr>
            <w:tcW w:w="45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1</w:t>
            </w:r>
          </w:p>
        </w:tc>
        <w:tc>
          <w:tcPr>
            <w:tcW w:w="54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2</w:t>
            </w:r>
          </w:p>
        </w:tc>
        <w:tc>
          <w:tcPr>
            <w:tcW w:w="54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3</w:t>
            </w:r>
          </w:p>
        </w:tc>
        <w:tc>
          <w:tcPr>
            <w:tcW w:w="54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4</w:t>
            </w:r>
          </w:p>
        </w:tc>
        <w:tc>
          <w:tcPr>
            <w:tcW w:w="63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1</w:t>
            </w:r>
          </w:p>
        </w:tc>
        <w:tc>
          <w:tcPr>
            <w:tcW w:w="45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2</w:t>
            </w:r>
          </w:p>
        </w:tc>
        <w:tc>
          <w:tcPr>
            <w:tcW w:w="54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3</w:t>
            </w:r>
          </w:p>
        </w:tc>
        <w:tc>
          <w:tcPr>
            <w:tcW w:w="45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4</w:t>
            </w:r>
          </w:p>
        </w:tc>
        <w:tc>
          <w:tcPr>
            <w:tcW w:w="54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1</w:t>
            </w:r>
          </w:p>
        </w:tc>
        <w:tc>
          <w:tcPr>
            <w:tcW w:w="45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2</w:t>
            </w:r>
          </w:p>
        </w:tc>
        <w:tc>
          <w:tcPr>
            <w:tcW w:w="45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3</w:t>
            </w:r>
          </w:p>
        </w:tc>
        <w:tc>
          <w:tcPr>
            <w:tcW w:w="36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4</w:t>
            </w:r>
          </w:p>
        </w:tc>
        <w:tc>
          <w:tcPr>
            <w:tcW w:w="45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1</w:t>
            </w:r>
          </w:p>
        </w:tc>
        <w:tc>
          <w:tcPr>
            <w:tcW w:w="36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2</w:t>
            </w:r>
          </w:p>
        </w:tc>
        <w:tc>
          <w:tcPr>
            <w:tcW w:w="36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3</w:t>
            </w:r>
          </w:p>
        </w:tc>
        <w:tc>
          <w:tcPr>
            <w:tcW w:w="36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4</w:t>
            </w:r>
          </w:p>
        </w:tc>
        <w:tc>
          <w:tcPr>
            <w:tcW w:w="450" w:type="dxa"/>
            <w:tcBorders>
              <w:top w:val="single" w:sz="4" w:space="0" w:color="000000"/>
              <w:left w:val="single" w:sz="4" w:space="0" w:color="000000"/>
              <w:bottom w:val="single" w:sz="18" w:space="0" w:color="000000"/>
              <w:right w:val="single" w:sz="4" w:space="0" w:color="000000"/>
            </w:tcBorders>
          </w:tcPr>
          <w:p w:rsidR="00200A65" w:rsidRPr="00200A65" w:rsidRDefault="00200A65" w:rsidP="00200A65">
            <w:pPr>
              <w:pStyle w:val="NoSpacing"/>
              <w:rPr>
                <w:sz w:val="16"/>
                <w:szCs w:val="16"/>
              </w:rPr>
            </w:pPr>
          </w:p>
          <w:p w:rsidR="00200A65" w:rsidRPr="00200A65" w:rsidRDefault="00200A65" w:rsidP="00200A65">
            <w:pPr>
              <w:pStyle w:val="NoSpacing"/>
              <w:rPr>
                <w:sz w:val="16"/>
                <w:szCs w:val="16"/>
              </w:rPr>
            </w:pPr>
            <w:r w:rsidRPr="00200A65">
              <w:rPr>
                <w:sz w:val="16"/>
                <w:szCs w:val="16"/>
              </w:rPr>
              <w:t>1</w:t>
            </w:r>
          </w:p>
        </w:tc>
        <w:tc>
          <w:tcPr>
            <w:tcW w:w="36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2</w:t>
            </w:r>
          </w:p>
        </w:tc>
        <w:tc>
          <w:tcPr>
            <w:tcW w:w="45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3</w:t>
            </w:r>
          </w:p>
        </w:tc>
        <w:tc>
          <w:tcPr>
            <w:tcW w:w="450" w:type="dxa"/>
            <w:tcBorders>
              <w:top w:val="single" w:sz="4"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4</w:t>
            </w:r>
          </w:p>
        </w:tc>
        <w:tc>
          <w:tcPr>
            <w:tcW w:w="2195" w:type="dxa"/>
            <w:tcBorders>
              <w:top w:val="single" w:sz="4" w:space="0" w:color="000000"/>
              <w:left w:val="single" w:sz="4" w:space="0" w:color="000000"/>
              <w:bottom w:val="single" w:sz="18" w:space="0" w:color="000000"/>
              <w:right w:val="single" w:sz="4" w:space="0" w:color="000000"/>
            </w:tcBorders>
            <w:hideMark/>
          </w:tcPr>
          <w:p w:rsidR="00200A65" w:rsidRPr="00200A65" w:rsidRDefault="00200A65" w:rsidP="00200A65">
            <w:pPr>
              <w:pStyle w:val="NoSpacing"/>
              <w:rPr>
                <w:sz w:val="16"/>
                <w:szCs w:val="16"/>
              </w:rPr>
            </w:pPr>
            <w:r w:rsidRPr="00200A65">
              <w:rPr>
                <w:sz w:val="16"/>
                <w:szCs w:val="16"/>
              </w:rPr>
              <w:t>(See key below)</w:t>
            </w:r>
          </w:p>
        </w:tc>
      </w:tr>
      <w:tr w:rsidR="00200A65" w:rsidRPr="00200A65" w:rsidTr="00A87169">
        <w:trPr>
          <w:gridAfter w:val="15"/>
          <w:wAfter w:w="8225" w:type="dxa"/>
          <w:trHeight w:val="21"/>
        </w:trPr>
        <w:tc>
          <w:tcPr>
            <w:tcW w:w="2970" w:type="dxa"/>
            <w:tcBorders>
              <w:top w:val="single" w:sz="18" w:space="0" w:color="000000"/>
              <w:left w:val="single" w:sz="4" w:space="0" w:color="000000"/>
              <w:bottom w:val="single" w:sz="18" w:space="0" w:color="000000"/>
              <w:right w:val="single" w:sz="4" w:space="0" w:color="000000"/>
            </w:tcBorders>
            <w:vAlign w:val="bottom"/>
            <w:hideMark/>
          </w:tcPr>
          <w:p w:rsidR="00200A65" w:rsidRPr="00200A65" w:rsidRDefault="00200A65" w:rsidP="00200A65">
            <w:pPr>
              <w:pStyle w:val="NoSpacing"/>
              <w:rPr>
                <w:sz w:val="16"/>
                <w:szCs w:val="16"/>
              </w:rPr>
            </w:pPr>
            <w:r w:rsidRPr="00200A65">
              <w:rPr>
                <w:sz w:val="16"/>
                <w:szCs w:val="16"/>
              </w:rPr>
              <w:t>Name/Major</w:t>
            </w:r>
          </w:p>
        </w:tc>
        <w:tc>
          <w:tcPr>
            <w:tcW w:w="990" w:type="dxa"/>
            <w:gridSpan w:val="2"/>
            <w:tcBorders>
              <w:top w:val="single" w:sz="18" w:space="0" w:color="000000"/>
              <w:left w:val="single" w:sz="4" w:space="0" w:color="000000"/>
              <w:bottom w:val="single" w:sz="18" w:space="0" w:color="000000"/>
              <w:right w:val="single" w:sz="4" w:space="0" w:color="000000"/>
            </w:tcBorders>
          </w:tcPr>
          <w:p w:rsidR="00200A65" w:rsidRPr="00200A65" w:rsidRDefault="00200A65" w:rsidP="00200A65">
            <w:pPr>
              <w:pStyle w:val="NoSpacing"/>
              <w:rPr>
                <w:sz w:val="16"/>
                <w:szCs w:val="16"/>
              </w:rPr>
            </w:pPr>
          </w:p>
        </w:tc>
        <w:tc>
          <w:tcPr>
            <w:tcW w:w="2160" w:type="dxa"/>
            <w:gridSpan w:val="4"/>
            <w:tcBorders>
              <w:top w:val="single" w:sz="18" w:space="0" w:color="000000"/>
              <w:left w:val="single" w:sz="4" w:space="0" w:color="000000"/>
              <w:bottom w:val="single" w:sz="18" w:space="0" w:color="000000"/>
              <w:right w:val="single" w:sz="4" w:space="0" w:color="000000"/>
            </w:tcBorders>
          </w:tcPr>
          <w:p w:rsidR="00200A65" w:rsidRPr="00200A65" w:rsidRDefault="00200A65" w:rsidP="00200A65">
            <w:pPr>
              <w:pStyle w:val="NoSpacing"/>
              <w:rPr>
                <w:sz w:val="16"/>
                <w:szCs w:val="16"/>
              </w:rPr>
            </w:pPr>
          </w:p>
        </w:tc>
      </w:tr>
      <w:tr w:rsidR="00200A65" w:rsidRPr="00200A65" w:rsidTr="00A87169">
        <w:trPr>
          <w:trHeight w:val="320"/>
        </w:trPr>
        <w:tc>
          <w:tcPr>
            <w:tcW w:w="2970" w:type="dxa"/>
            <w:tcBorders>
              <w:top w:val="single" w:sz="18" w:space="0" w:color="000000"/>
              <w:left w:val="single" w:sz="4" w:space="0" w:color="000000"/>
              <w:bottom w:val="single" w:sz="4" w:space="0" w:color="000000"/>
              <w:right w:val="single" w:sz="18" w:space="0" w:color="auto"/>
            </w:tcBorders>
            <w:vAlign w:val="bottom"/>
          </w:tcPr>
          <w:p w:rsidR="00200A65" w:rsidRPr="00200A65" w:rsidRDefault="00200A65" w:rsidP="00200A65">
            <w:pPr>
              <w:pStyle w:val="NoSpacing"/>
              <w:rPr>
                <w:sz w:val="16"/>
                <w:szCs w:val="16"/>
              </w:rPr>
            </w:pPr>
            <w:r w:rsidRPr="00200A65">
              <w:rPr>
                <w:sz w:val="16"/>
                <w:szCs w:val="16"/>
              </w:rPr>
              <w:t># 1976</w:t>
            </w:r>
          </w:p>
          <w:p w:rsidR="00200A65" w:rsidRPr="00200A65" w:rsidRDefault="00200A65" w:rsidP="00200A65">
            <w:pPr>
              <w:pStyle w:val="NoSpacing"/>
              <w:rPr>
                <w:sz w:val="16"/>
                <w:szCs w:val="16"/>
              </w:rPr>
            </w:pPr>
          </w:p>
        </w:tc>
        <w:tc>
          <w:tcPr>
            <w:tcW w:w="450" w:type="dxa"/>
            <w:tcBorders>
              <w:top w:val="single" w:sz="18" w:space="0" w:color="auto"/>
              <w:left w:val="single" w:sz="18"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18" w:space="0" w:color="auto"/>
              <w:left w:val="single" w:sz="6"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18" w:space="0" w:color="auto"/>
              <w:left w:val="single" w:sz="6" w:space="0" w:color="auto"/>
              <w:bottom w:val="single" w:sz="6" w:space="0" w:color="auto"/>
              <w:right w:val="single" w:sz="6" w:space="0" w:color="auto"/>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18" w:space="0" w:color="auto"/>
              <w:left w:val="single" w:sz="6" w:space="0" w:color="auto"/>
              <w:bottom w:val="single" w:sz="6" w:space="0" w:color="auto"/>
              <w:right w:val="single" w:sz="18" w:space="0" w:color="000000"/>
            </w:tcBorders>
            <w:vAlign w:val="bottom"/>
          </w:tcPr>
          <w:p w:rsidR="00200A65" w:rsidRPr="00200A65" w:rsidRDefault="00200A65" w:rsidP="00200A65">
            <w:pPr>
              <w:pStyle w:val="NoSpacing"/>
              <w:rPr>
                <w:sz w:val="16"/>
                <w:szCs w:val="16"/>
              </w:rPr>
            </w:pPr>
          </w:p>
        </w:tc>
        <w:tc>
          <w:tcPr>
            <w:tcW w:w="630" w:type="dxa"/>
            <w:tcBorders>
              <w:top w:val="single" w:sz="18"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18"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540" w:type="dxa"/>
            <w:tcBorders>
              <w:top w:val="single" w:sz="18"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18"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540" w:type="dxa"/>
            <w:tcBorders>
              <w:top w:val="single" w:sz="18"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18"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18"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360" w:type="dxa"/>
            <w:tcBorders>
              <w:top w:val="single" w:sz="18" w:space="0" w:color="000000"/>
              <w:left w:val="single" w:sz="6" w:space="0" w:color="000000"/>
              <w:bottom w:val="single" w:sz="6" w:space="0" w:color="000000"/>
              <w:right w:val="single" w:sz="18" w:space="0" w:color="000000"/>
            </w:tcBorders>
          </w:tcPr>
          <w:p w:rsidR="00200A65" w:rsidRPr="00200A65" w:rsidRDefault="00200A65" w:rsidP="00200A65">
            <w:pPr>
              <w:pStyle w:val="NoSpacing"/>
              <w:rPr>
                <w:sz w:val="16"/>
                <w:szCs w:val="16"/>
              </w:rPr>
            </w:pPr>
          </w:p>
        </w:tc>
        <w:tc>
          <w:tcPr>
            <w:tcW w:w="450" w:type="dxa"/>
            <w:tcBorders>
              <w:top w:val="single" w:sz="18"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18"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18"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18" w:space="0" w:color="000000"/>
              <w:left w:val="single" w:sz="6" w:space="0" w:color="000000"/>
              <w:bottom w:val="single" w:sz="6" w:space="0" w:color="000000"/>
              <w:right w:val="single" w:sz="18"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18"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18"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18"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18"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2195" w:type="dxa"/>
            <w:tcBorders>
              <w:top w:val="single" w:sz="18" w:space="0" w:color="000000"/>
              <w:left w:val="single" w:sz="6" w:space="0" w:color="000000"/>
              <w:bottom w:val="single" w:sz="6" w:space="0" w:color="000000"/>
              <w:right w:val="single" w:sz="18" w:space="0" w:color="000000"/>
            </w:tcBorders>
            <w:hideMark/>
          </w:tcPr>
          <w:p w:rsidR="00200A65" w:rsidRPr="00200A65" w:rsidRDefault="00200A65" w:rsidP="00200A65">
            <w:pPr>
              <w:pStyle w:val="NoSpacing"/>
              <w:rPr>
                <w:sz w:val="16"/>
                <w:szCs w:val="16"/>
              </w:rPr>
            </w:pPr>
            <w:r w:rsidRPr="00200A65">
              <w:rPr>
                <w:sz w:val="16"/>
                <w:szCs w:val="16"/>
              </w:rPr>
              <w:t>States Objectives, Engaged; Directions Clear, Monitors; Clarifies; Wait time; Smooth Transitions; HOTS; Feedback</w:t>
            </w:r>
          </w:p>
        </w:tc>
      </w:tr>
      <w:tr w:rsidR="00200A65" w:rsidRPr="00200A65" w:rsidTr="00A87169">
        <w:trPr>
          <w:trHeight w:val="320"/>
        </w:trPr>
        <w:tc>
          <w:tcPr>
            <w:tcW w:w="2970" w:type="dxa"/>
            <w:tcBorders>
              <w:top w:val="single" w:sz="4" w:space="0" w:color="000000"/>
              <w:left w:val="single" w:sz="4" w:space="0" w:color="000000"/>
              <w:bottom w:val="single" w:sz="4" w:space="0" w:color="000000"/>
              <w:right w:val="single" w:sz="18" w:space="0" w:color="auto"/>
            </w:tcBorders>
            <w:vAlign w:val="bottom"/>
          </w:tcPr>
          <w:p w:rsidR="00200A65" w:rsidRPr="00200A65" w:rsidRDefault="00200A65" w:rsidP="00200A65">
            <w:pPr>
              <w:pStyle w:val="NoSpacing"/>
              <w:rPr>
                <w:sz w:val="16"/>
                <w:szCs w:val="16"/>
              </w:rPr>
            </w:pPr>
            <w:r w:rsidRPr="00200A65">
              <w:rPr>
                <w:sz w:val="16"/>
                <w:szCs w:val="16"/>
              </w:rPr>
              <w:t># 1221</w:t>
            </w:r>
          </w:p>
          <w:p w:rsidR="00200A65" w:rsidRPr="00200A65" w:rsidRDefault="00200A65" w:rsidP="00200A65">
            <w:pPr>
              <w:pStyle w:val="NoSpacing"/>
              <w:rPr>
                <w:sz w:val="16"/>
                <w:szCs w:val="16"/>
              </w:rPr>
            </w:pPr>
          </w:p>
        </w:tc>
        <w:tc>
          <w:tcPr>
            <w:tcW w:w="450" w:type="dxa"/>
            <w:tcBorders>
              <w:top w:val="single" w:sz="6" w:space="0" w:color="auto"/>
              <w:left w:val="single" w:sz="18"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6" w:space="0" w:color="auto"/>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auto"/>
              <w:left w:val="single" w:sz="6" w:space="0" w:color="auto"/>
              <w:bottom w:val="single" w:sz="6" w:space="0" w:color="auto"/>
              <w:right w:val="single" w:sz="18" w:space="0" w:color="000000"/>
            </w:tcBorders>
            <w:vAlign w:val="bottom"/>
          </w:tcPr>
          <w:p w:rsidR="00200A65" w:rsidRPr="00200A65" w:rsidRDefault="00200A65" w:rsidP="00200A65">
            <w:pPr>
              <w:pStyle w:val="NoSpacing"/>
              <w:rPr>
                <w:sz w:val="16"/>
                <w:szCs w:val="16"/>
              </w:rPr>
            </w:pPr>
          </w:p>
        </w:tc>
        <w:tc>
          <w:tcPr>
            <w:tcW w:w="63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54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360" w:type="dxa"/>
            <w:tcBorders>
              <w:top w:val="single" w:sz="6" w:space="0" w:color="000000"/>
              <w:left w:val="single" w:sz="6" w:space="0" w:color="000000"/>
              <w:bottom w:val="single" w:sz="6" w:space="0" w:color="000000"/>
              <w:right w:val="single" w:sz="18" w:space="0" w:color="000000"/>
            </w:tcBorders>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36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2195" w:type="dxa"/>
            <w:tcBorders>
              <w:top w:val="single" w:sz="6" w:space="0" w:color="000000"/>
              <w:left w:val="single" w:sz="6" w:space="0" w:color="000000"/>
              <w:bottom w:val="single" w:sz="6" w:space="0" w:color="000000"/>
              <w:right w:val="single" w:sz="18" w:space="0" w:color="000000"/>
            </w:tcBorders>
            <w:hideMark/>
          </w:tcPr>
          <w:p w:rsidR="00200A65" w:rsidRPr="00200A65" w:rsidRDefault="00200A65" w:rsidP="00200A65">
            <w:pPr>
              <w:pStyle w:val="NoSpacing"/>
              <w:rPr>
                <w:sz w:val="16"/>
                <w:szCs w:val="16"/>
              </w:rPr>
            </w:pPr>
            <w:r w:rsidRPr="00200A65">
              <w:rPr>
                <w:sz w:val="16"/>
                <w:szCs w:val="16"/>
              </w:rPr>
              <w:t>States Objectives, Directions Clear, Monitors; Clarifies; Smooth Transitions; HOTS</w:t>
            </w:r>
          </w:p>
        </w:tc>
      </w:tr>
      <w:tr w:rsidR="00200A65" w:rsidRPr="00200A65" w:rsidTr="00A87169">
        <w:trPr>
          <w:trHeight w:val="320"/>
        </w:trPr>
        <w:tc>
          <w:tcPr>
            <w:tcW w:w="2970" w:type="dxa"/>
            <w:tcBorders>
              <w:top w:val="single" w:sz="4" w:space="0" w:color="000000"/>
              <w:left w:val="single" w:sz="4" w:space="0" w:color="000000"/>
              <w:bottom w:val="single" w:sz="4" w:space="0" w:color="000000"/>
              <w:right w:val="single" w:sz="18" w:space="0" w:color="auto"/>
            </w:tcBorders>
            <w:vAlign w:val="bottom"/>
          </w:tcPr>
          <w:p w:rsidR="00200A65" w:rsidRPr="00200A65" w:rsidRDefault="00200A65" w:rsidP="00200A65">
            <w:pPr>
              <w:pStyle w:val="NoSpacing"/>
              <w:rPr>
                <w:sz w:val="16"/>
                <w:szCs w:val="16"/>
              </w:rPr>
            </w:pPr>
            <w:r w:rsidRPr="00200A65">
              <w:rPr>
                <w:sz w:val="16"/>
                <w:szCs w:val="16"/>
              </w:rPr>
              <w:t xml:space="preserve"> # 2738</w:t>
            </w:r>
          </w:p>
          <w:p w:rsidR="00200A65" w:rsidRPr="00200A65" w:rsidRDefault="00200A65" w:rsidP="00200A65">
            <w:pPr>
              <w:pStyle w:val="NoSpacing"/>
              <w:rPr>
                <w:sz w:val="16"/>
                <w:szCs w:val="16"/>
              </w:rPr>
            </w:pPr>
          </w:p>
        </w:tc>
        <w:tc>
          <w:tcPr>
            <w:tcW w:w="450" w:type="dxa"/>
            <w:tcBorders>
              <w:top w:val="single" w:sz="6" w:space="0" w:color="auto"/>
              <w:left w:val="single" w:sz="18"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6" w:space="0" w:color="auto"/>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auto"/>
              <w:left w:val="single" w:sz="6"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18" w:space="0" w:color="000000"/>
            </w:tcBorders>
            <w:vAlign w:val="bottom"/>
          </w:tcPr>
          <w:p w:rsidR="00200A65" w:rsidRPr="00200A65" w:rsidRDefault="00200A65" w:rsidP="00200A65">
            <w:pPr>
              <w:pStyle w:val="NoSpacing"/>
              <w:rPr>
                <w:sz w:val="16"/>
                <w:szCs w:val="16"/>
              </w:rPr>
            </w:pPr>
          </w:p>
        </w:tc>
        <w:tc>
          <w:tcPr>
            <w:tcW w:w="63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54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54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18" w:space="0" w:color="000000"/>
            </w:tcBorders>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36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2195" w:type="dxa"/>
            <w:tcBorders>
              <w:top w:val="single" w:sz="6" w:space="0" w:color="000000"/>
              <w:left w:val="single" w:sz="6" w:space="0" w:color="000000"/>
              <w:bottom w:val="single" w:sz="6" w:space="0" w:color="000000"/>
              <w:right w:val="single" w:sz="18" w:space="0" w:color="000000"/>
            </w:tcBorders>
            <w:hideMark/>
          </w:tcPr>
          <w:p w:rsidR="00200A65" w:rsidRPr="00200A65" w:rsidRDefault="00200A65" w:rsidP="00200A65">
            <w:pPr>
              <w:pStyle w:val="NoSpacing"/>
              <w:rPr>
                <w:sz w:val="16"/>
                <w:szCs w:val="16"/>
              </w:rPr>
            </w:pPr>
            <w:r w:rsidRPr="00200A65">
              <w:rPr>
                <w:sz w:val="16"/>
                <w:szCs w:val="16"/>
              </w:rPr>
              <w:t>States Objectives, Gives Clear Directions, Monitors; Clarifies; Engages Students</w:t>
            </w:r>
          </w:p>
        </w:tc>
      </w:tr>
      <w:tr w:rsidR="00200A65" w:rsidRPr="00200A65" w:rsidTr="00A87169">
        <w:trPr>
          <w:trHeight w:val="320"/>
        </w:trPr>
        <w:tc>
          <w:tcPr>
            <w:tcW w:w="2970" w:type="dxa"/>
            <w:tcBorders>
              <w:top w:val="single" w:sz="4" w:space="0" w:color="000000"/>
              <w:left w:val="single" w:sz="4" w:space="0" w:color="000000"/>
              <w:bottom w:val="single" w:sz="4" w:space="0" w:color="000000"/>
              <w:right w:val="single" w:sz="18" w:space="0" w:color="auto"/>
            </w:tcBorders>
            <w:vAlign w:val="bottom"/>
          </w:tcPr>
          <w:p w:rsidR="00200A65" w:rsidRPr="00200A65" w:rsidRDefault="00200A65" w:rsidP="00200A65">
            <w:pPr>
              <w:pStyle w:val="NoSpacing"/>
              <w:rPr>
                <w:sz w:val="16"/>
                <w:szCs w:val="16"/>
              </w:rPr>
            </w:pPr>
            <w:r w:rsidRPr="00200A65">
              <w:rPr>
                <w:sz w:val="16"/>
                <w:szCs w:val="16"/>
              </w:rPr>
              <w:t># 7177</w:t>
            </w:r>
          </w:p>
          <w:p w:rsidR="00200A65" w:rsidRPr="00200A65" w:rsidRDefault="00200A65" w:rsidP="00200A65">
            <w:pPr>
              <w:pStyle w:val="NoSpacing"/>
              <w:rPr>
                <w:sz w:val="16"/>
                <w:szCs w:val="16"/>
              </w:rPr>
            </w:pPr>
          </w:p>
        </w:tc>
        <w:tc>
          <w:tcPr>
            <w:tcW w:w="450" w:type="dxa"/>
            <w:tcBorders>
              <w:top w:val="single" w:sz="6" w:space="0" w:color="auto"/>
              <w:left w:val="single" w:sz="18"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6" w:space="0" w:color="auto"/>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auto"/>
              <w:left w:val="single" w:sz="6" w:space="0" w:color="auto"/>
              <w:bottom w:val="single" w:sz="6" w:space="0" w:color="auto"/>
              <w:right w:val="single" w:sz="18" w:space="0" w:color="000000"/>
            </w:tcBorders>
            <w:vAlign w:val="bottom"/>
          </w:tcPr>
          <w:p w:rsidR="00200A65" w:rsidRPr="00200A65" w:rsidRDefault="00200A65" w:rsidP="00200A65">
            <w:pPr>
              <w:pStyle w:val="NoSpacing"/>
              <w:rPr>
                <w:sz w:val="16"/>
                <w:szCs w:val="16"/>
              </w:rPr>
            </w:pPr>
          </w:p>
        </w:tc>
        <w:tc>
          <w:tcPr>
            <w:tcW w:w="63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54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360" w:type="dxa"/>
            <w:tcBorders>
              <w:top w:val="single" w:sz="6" w:space="0" w:color="000000"/>
              <w:left w:val="single" w:sz="6" w:space="0" w:color="000000"/>
              <w:bottom w:val="single" w:sz="6" w:space="0" w:color="000000"/>
              <w:right w:val="single" w:sz="18" w:space="0" w:color="000000"/>
            </w:tcBorders>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36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2195" w:type="dxa"/>
            <w:tcBorders>
              <w:top w:val="single" w:sz="6" w:space="0" w:color="000000"/>
              <w:left w:val="single" w:sz="6" w:space="0" w:color="000000"/>
              <w:bottom w:val="single" w:sz="6" w:space="0" w:color="000000"/>
              <w:right w:val="single" w:sz="18" w:space="0" w:color="000000"/>
            </w:tcBorders>
            <w:hideMark/>
          </w:tcPr>
          <w:p w:rsidR="00200A65" w:rsidRPr="00200A65" w:rsidRDefault="00200A65" w:rsidP="00200A65">
            <w:pPr>
              <w:pStyle w:val="NoSpacing"/>
              <w:rPr>
                <w:sz w:val="16"/>
                <w:szCs w:val="16"/>
              </w:rPr>
            </w:pPr>
            <w:r w:rsidRPr="00200A65">
              <w:rPr>
                <w:sz w:val="16"/>
                <w:szCs w:val="16"/>
              </w:rPr>
              <w:t>States Objectives, Directions, Monitors; Long Transitions; HOTS</w:t>
            </w:r>
          </w:p>
        </w:tc>
      </w:tr>
      <w:tr w:rsidR="00200A65" w:rsidRPr="00200A65" w:rsidTr="00A87169">
        <w:trPr>
          <w:trHeight w:val="320"/>
        </w:trPr>
        <w:tc>
          <w:tcPr>
            <w:tcW w:w="2970" w:type="dxa"/>
            <w:tcBorders>
              <w:top w:val="single" w:sz="4" w:space="0" w:color="000000"/>
              <w:left w:val="single" w:sz="4" w:space="0" w:color="000000"/>
              <w:bottom w:val="single" w:sz="4" w:space="0" w:color="000000"/>
              <w:right w:val="single" w:sz="18" w:space="0" w:color="auto"/>
            </w:tcBorders>
            <w:vAlign w:val="bottom"/>
          </w:tcPr>
          <w:p w:rsidR="00200A65" w:rsidRPr="00200A65" w:rsidRDefault="00200A65" w:rsidP="00200A65">
            <w:pPr>
              <w:pStyle w:val="NoSpacing"/>
              <w:rPr>
                <w:sz w:val="16"/>
                <w:szCs w:val="16"/>
              </w:rPr>
            </w:pPr>
            <w:r w:rsidRPr="00200A65">
              <w:rPr>
                <w:sz w:val="16"/>
                <w:szCs w:val="16"/>
              </w:rPr>
              <w:t>#4587</w:t>
            </w:r>
          </w:p>
          <w:p w:rsidR="00200A65" w:rsidRPr="00200A65" w:rsidRDefault="00200A65" w:rsidP="00200A65">
            <w:pPr>
              <w:pStyle w:val="NoSpacing"/>
              <w:rPr>
                <w:sz w:val="16"/>
                <w:szCs w:val="16"/>
              </w:rPr>
            </w:pPr>
          </w:p>
        </w:tc>
        <w:tc>
          <w:tcPr>
            <w:tcW w:w="450" w:type="dxa"/>
            <w:tcBorders>
              <w:top w:val="single" w:sz="6" w:space="0" w:color="auto"/>
              <w:left w:val="single" w:sz="18"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6" w:space="0" w:color="auto"/>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auto"/>
              <w:left w:val="single" w:sz="6" w:space="0" w:color="auto"/>
              <w:bottom w:val="single" w:sz="6" w:space="0" w:color="auto"/>
              <w:right w:val="single" w:sz="18" w:space="0" w:color="000000"/>
            </w:tcBorders>
            <w:vAlign w:val="bottom"/>
          </w:tcPr>
          <w:p w:rsidR="00200A65" w:rsidRPr="00200A65" w:rsidRDefault="00200A65" w:rsidP="00200A65">
            <w:pPr>
              <w:pStyle w:val="NoSpacing"/>
              <w:rPr>
                <w:sz w:val="16"/>
                <w:szCs w:val="16"/>
              </w:rPr>
            </w:pPr>
          </w:p>
        </w:tc>
        <w:tc>
          <w:tcPr>
            <w:tcW w:w="63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54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18" w:space="0" w:color="000000"/>
            </w:tcBorders>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36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2195" w:type="dxa"/>
            <w:tcBorders>
              <w:top w:val="single" w:sz="6" w:space="0" w:color="000000"/>
              <w:left w:val="single" w:sz="6" w:space="0" w:color="000000"/>
              <w:bottom w:val="single" w:sz="6" w:space="0" w:color="000000"/>
              <w:right w:val="single" w:sz="18" w:space="0" w:color="000000"/>
            </w:tcBorders>
            <w:hideMark/>
          </w:tcPr>
          <w:p w:rsidR="00200A65" w:rsidRPr="00200A65" w:rsidRDefault="00200A65" w:rsidP="00200A65">
            <w:pPr>
              <w:pStyle w:val="NoSpacing"/>
              <w:rPr>
                <w:sz w:val="16"/>
                <w:szCs w:val="16"/>
              </w:rPr>
            </w:pPr>
            <w:r w:rsidRPr="00200A65">
              <w:rPr>
                <w:sz w:val="16"/>
                <w:szCs w:val="16"/>
              </w:rPr>
              <w:t>States Objectives, Tone Soft; Directions Clear; Monitors; Smooth Transitions; Engaged</w:t>
            </w:r>
          </w:p>
        </w:tc>
      </w:tr>
      <w:tr w:rsidR="00200A65" w:rsidRPr="00200A65" w:rsidTr="00A87169">
        <w:trPr>
          <w:trHeight w:val="320"/>
        </w:trPr>
        <w:tc>
          <w:tcPr>
            <w:tcW w:w="2970" w:type="dxa"/>
            <w:tcBorders>
              <w:top w:val="single" w:sz="4" w:space="0" w:color="000000"/>
              <w:left w:val="single" w:sz="4" w:space="0" w:color="000000"/>
              <w:bottom w:val="single" w:sz="4" w:space="0" w:color="000000"/>
              <w:right w:val="single" w:sz="18" w:space="0" w:color="auto"/>
            </w:tcBorders>
            <w:vAlign w:val="bottom"/>
          </w:tcPr>
          <w:p w:rsidR="00200A65" w:rsidRPr="00200A65" w:rsidRDefault="00200A65" w:rsidP="00200A65">
            <w:pPr>
              <w:pStyle w:val="NoSpacing"/>
              <w:rPr>
                <w:sz w:val="16"/>
                <w:szCs w:val="16"/>
              </w:rPr>
            </w:pPr>
            <w:r w:rsidRPr="00200A65">
              <w:rPr>
                <w:sz w:val="16"/>
                <w:szCs w:val="16"/>
              </w:rPr>
              <w:t>#5051</w:t>
            </w:r>
          </w:p>
          <w:p w:rsidR="00200A65" w:rsidRPr="00200A65" w:rsidRDefault="00200A65" w:rsidP="00200A65">
            <w:pPr>
              <w:pStyle w:val="NoSpacing"/>
              <w:rPr>
                <w:sz w:val="16"/>
                <w:szCs w:val="16"/>
              </w:rPr>
            </w:pPr>
          </w:p>
        </w:tc>
        <w:tc>
          <w:tcPr>
            <w:tcW w:w="450" w:type="dxa"/>
            <w:tcBorders>
              <w:top w:val="single" w:sz="6" w:space="0" w:color="auto"/>
              <w:left w:val="single" w:sz="18"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6" w:space="0" w:color="auto"/>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auto"/>
              <w:left w:val="single" w:sz="6"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18" w:space="0" w:color="000000"/>
            </w:tcBorders>
            <w:vAlign w:val="bottom"/>
          </w:tcPr>
          <w:p w:rsidR="00200A65" w:rsidRPr="00200A65" w:rsidRDefault="00200A65" w:rsidP="00200A65">
            <w:pPr>
              <w:pStyle w:val="NoSpacing"/>
              <w:rPr>
                <w:sz w:val="16"/>
                <w:szCs w:val="16"/>
              </w:rPr>
            </w:pPr>
          </w:p>
        </w:tc>
        <w:tc>
          <w:tcPr>
            <w:tcW w:w="630" w:type="dxa"/>
            <w:tcBorders>
              <w:top w:val="single" w:sz="6" w:space="0" w:color="000000"/>
              <w:left w:val="single" w:sz="18"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54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540" w:type="dxa"/>
            <w:tcBorders>
              <w:top w:val="single" w:sz="6" w:space="0" w:color="000000"/>
              <w:left w:val="single" w:sz="18"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18" w:space="0" w:color="000000"/>
            </w:tcBorders>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36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2195" w:type="dxa"/>
            <w:tcBorders>
              <w:top w:val="single" w:sz="6" w:space="0" w:color="000000"/>
              <w:left w:val="single" w:sz="6" w:space="0" w:color="000000"/>
              <w:bottom w:val="single" w:sz="6" w:space="0" w:color="000000"/>
              <w:right w:val="single" w:sz="18" w:space="0" w:color="000000"/>
            </w:tcBorders>
            <w:hideMark/>
          </w:tcPr>
          <w:p w:rsidR="00200A65" w:rsidRPr="00200A65" w:rsidRDefault="00200A65" w:rsidP="00200A65">
            <w:pPr>
              <w:pStyle w:val="NoSpacing"/>
              <w:rPr>
                <w:sz w:val="16"/>
                <w:szCs w:val="16"/>
              </w:rPr>
            </w:pPr>
            <w:r w:rsidRPr="00200A65">
              <w:rPr>
                <w:sz w:val="16"/>
                <w:szCs w:val="16"/>
              </w:rPr>
              <w:t>States Objectives, Directions, Monitors; Clarifies; Rough Transitions; Recall</w:t>
            </w:r>
          </w:p>
        </w:tc>
      </w:tr>
      <w:tr w:rsidR="00200A65" w:rsidRPr="00200A65" w:rsidTr="00A87169">
        <w:trPr>
          <w:trHeight w:val="320"/>
        </w:trPr>
        <w:tc>
          <w:tcPr>
            <w:tcW w:w="2970" w:type="dxa"/>
            <w:tcBorders>
              <w:top w:val="single" w:sz="4" w:space="0" w:color="000000"/>
              <w:left w:val="single" w:sz="4" w:space="0" w:color="000000"/>
              <w:bottom w:val="single" w:sz="4" w:space="0" w:color="000000"/>
              <w:right w:val="single" w:sz="18" w:space="0" w:color="auto"/>
            </w:tcBorders>
            <w:vAlign w:val="bottom"/>
          </w:tcPr>
          <w:p w:rsidR="00200A65" w:rsidRPr="00200A65" w:rsidRDefault="00200A65" w:rsidP="00200A65">
            <w:pPr>
              <w:pStyle w:val="NoSpacing"/>
              <w:rPr>
                <w:sz w:val="16"/>
                <w:szCs w:val="16"/>
              </w:rPr>
            </w:pPr>
            <w:r w:rsidRPr="00200A65">
              <w:rPr>
                <w:sz w:val="16"/>
                <w:szCs w:val="16"/>
              </w:rPr>
              <w:lastRenderedPageBreak/>
              <w:t>#0293</w:t>
            </w:r>
          </w:p>
          <w:p w:rsidR="00200A65" w:rsidRPr="00200A65" w:rsidRDefault="00200A65" w:rsidP="00200A65">
            <w:pPr>
              <w:pStyle w:val="NoSpacing"/>
              <w:rPr>
                <w:sz w:val="16"/>
                <w:szCs w:val="16"/>
              </w:rPr>
            </w:pPr>
          </w:p>
        </w:tc>
        <w:tc>
          <w:tcPr>
            <w:tcW w:w="450" w:type="dxa"/>
            <w:tcBorders>
              <w:top w:val="single" w:sz="6" w:space="0" w:color="auto"/>
              <w:left w:val="single" w:sz="18" w:space="0" w:color="auto"/>
              <w:bottom w:val="single" w:sz="6" w:space="0" w:color="auto"/>
              <w:right w:val="single" w:sz="6" w:space="0" w:color="auto"/>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auto"/>
              <w:left w:val="single" w:sz="6"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18" w:space="0" w:color="000000"/>
            </w:tcBorders>
            <w:vAlign w:val="bottom"/>
          </w:tcPr>
          <w:p w:rsidR="00200A65" w:rsidRPr="00200A65" w:rsidRDefault="00200A65" w:rsidP="00200A65">
            <w:pPr>
              <w:pStyle w:val="NoSpacing"/>
              <w:rPr>
                <w:sz w:val="16"/>
                <w:szCs w:val="16"/>
              </w:rPr>
            </w:pPr>
          </w:p>
        </w:tc>
        <w:tc>
          <w:tcPr>
            <w:tcW w:w="63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540" w:type="dxa"/>
            <w:tcBorders>
              <w:top w:val="single" w:sz="6" w:space="0" w:color="000000"/>
              <w:left w:val="single" w:sz="18"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18" w:space="0" w:color="000000"/>
            </w:tcBorders>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36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36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2195" w:type="dxa"/>
            <w:tcBorders>
              <w:top w:val="single" w:sz="6" w:space="0" w:color="000000"/>
              <w:left w:val="single" w:sz="6" w:space="0" w:color="000000"/>
              <w:bottom w:val="single" w:sz="6" w:space="0" w:color="000000"/>
              <w:right w:val="single" w:sz="18" w:space="0" w:color="000000"/>
            </w:tcBorders>
            <w:hideMark/>
          </w:tcPr>
          <w:p w:rsidR="00200A65" w:rsidRPr="00200A65" w:rsidRDefault="00200A65" w:rsidP="00200A65">
            <w:pPr>
              <w:pStyle w:val="NoSpacing"/>
              <w:rPr>
                <w:sz w:val="16"/>
                <w:szCs w:val="16"/>
              </w:rPr>
            </w:pPr>
            <w:r w:rsidRPr="00200A65">
              <w:rPr>
                <w:sz w:val="16"/>
                <w:szCs w:val="16"/>
              </w:rPr>
              <w:t>States Objectives, Tone; Directions Confusing, Does not Monitor; Time Lost  During Transitions; Recall</w:t>
            </w:r>
          </w:p>
        </w:tc>
      </w:tr>
      <w:tr w:rsidR="00200A65" w:rsidRPr="00200A65" w:rsidTr="00A87169">
        <w:trPr>
          <w:trHeight w:val="320"/>
        </w:trPr>
        <w:tc>
          <w:tcPr>
            <w:tcW w:w="2970" w:type="dxa"/>
            <w:tcBorders>
              <w:top w:val="single" w:sz="4" w:space="0" w:color="000000"/>
              <w:left w:val="single" w:sz="4" w:space="0" w:color="000000"/>
              <w:bottom w:val="single" w:sz="4" w:space="0" w:color="000000"/>
              <w:right w:val="single" w:sz="18" w:space="0" w:color="auto"/>
            </w:tcBorders>
            <w:vAlign w:val="bottom"/>
          </w:tcPr>
          <w:p w:rsidR="00200A65" w:rsidRPr="00200A65" w:rsidRDefault="00200A65" w:rsidP="00200A65">
            <w:pPr>
              <w:pStyle w:val="NoSpacing"/>
              <w:rPr>
                <w:sz w:val="16"/>
                <w:szCs w:val="16"/>
              </w:rPr>
            </w:pPr>
            <w:r w:rsidRPr="00200A65">
              <w:rPr>
                <w:sz w:val="16"/>
                <w:szCs w:val="16"/>
              </w:rPr>
              <w:t>#2703</w:t>
            </w:r>
          </w:p>
          <w:p w:rsidR="00200A65" w:rsidRPr="00200A65" w:rsidRDefault="00200A65" w:rsidP="00200A65">
            <w:pPr>
              <w:pStyle w:val="NoSpacing"/>
              <w:rPr>
                <w:sz w:val="16"/>
                <w:szCs w:val="16"/>
              </w:rPr>
            </w:pPr>
          </w:p>
        </w:tc>
        <w:tc>
          <w:tcPr>
            <w:tcW w:w="450" w:type="dxa"/>
            <w:tcBorders>
              <w:top w:val="single" w:sz="6" w:space="0" w:color="auto"/>
              <w:left w:val="single" w:sz="18" w:space="0" w:color="auto"/>
              <w:bottom w:val="single" w:sz="6" w:space="0" w:color="auto"/>
              <w:right w:val="single" w:sz="6" w:space="0" w:color="auto"/>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auto"/>
              <w:left w:val="single" w:sz="6"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6" w:space="0" w:color="auto"/>
            </w:tcBorders>
            <w:vAlign w:val="bottom"/>
          </w:tcPr>
          <w:p w:rsidR="00200A65" w:rsidRPr="00200A65" w:rsidRDefault="00200A65" w:rsidP="00200A65">
            <w:pPr>
              <w:pStyle w:val="NoSpacing"/>
              <w:rPr>
                <w:sz w:val="16"/>
                <w:szCs w:val="16"/>
              </w:rPr>
            </w:pPr>
          </w:p>
        </w:tc>
        <w:tc>
          <w:tcPr>
            <w:tcW w:w="540" w:type="dxa"/>
            <w:tcBorders>
              <w:top w:val="single" w:sz="6" w:space="0" w:color="auto"/>
              <w:left w:val="single" w:sz="6" w:space="0" w:color="auto"/>
              <w:bottom w:val="single" w:sz="6" w:space="0" w:color="auto"/>
              <w:right w:val="single" w:sz="18" w:space="0" w:color="000000"/>
            </w:tcBorders>
            <w:vAlign w:val="bottom"/>
          </w:tcPr>
          <w:p w:rsidR="00200A65" w:rsidRPr="00200A65" w:rsidRDefault="00200A65" w:rsidP="00200A65">
            <w:pPr>
              <w:pStyle w:val="NoSpacing"/>
              <w:rPr>
                <w:sz w:val="16"/>
                <w:szCs w:val="16"/>
              </w:rPr>
            </w:pPr>
          </w:p>
        </w:tc>
        <w:tc>
          <w:tcPr>
            <w:tcW w:w="63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54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54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18" w:space="0" w:color="000000"/>
            </w:tcBorders>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36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18"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360" w:type="dxa"/>
            <w:tcBorders>
              <w:top w:val="single" w:sz="6" w:space="0" w:color="000000"/>
              <w:left w:val="single" w:sz="6" w:space="0" w:color="000000"/>
              <w:bottom w:val="single" w:sz="6" w:space="0" w:color="000000"/>
              <w:right w:val="single" w:sz="6" w:space="0" w:color="000000"/>
            </w:tcBorders>
            <w:vAlign w:val="bottom"/>
            <w:hideMark/>
          </w:tcPr>
          <w:p w:rsidR="00200A65" w:rsidRPr="00200A65" w:rsidRDefault="00200A65" w:rsidP="00200A65">
            <w:pPr>
              <w:pStyle w:val="NoSpacing"/>
              <w:rPr>
                <w:sz w:val="16"/>
                <w:szCs w:val="16"/>
              </w:rPr>
            </w:pPr>
            <w:r w:rsidRPr="00200A65">
              <w:rPr>
                <w:sz w:val="16"/>
                <w:szCs w:val="16"/>
              </w:rPr>
              <w:t>X</w:t>
            </w:r>
          </w:p>
        </w:tc>
        <w:tc>
          <w:tcPr>
            <w:tcW w:w="450" w:type="dxa"/>
            <w:tcBorders>
              <w:top w:val="single" w:sz="6" w:space="0" w:color="000000"/>
              <w:left w:val="single" w:sz="6" w:space="0" w:color="000000"/>
              <w:bottom w:val="single" w:sz="6" w:space="0" w:color="000000"/>
              <w:right w:val="single" w:sz="6" w:space="0" w:color="000000"/>
            </w:tcBorders>
            <w:vAlign w:val="bottom"/>
          </w:tcPr>
          <w:p w:rsidR="00200A65" w:rsidRPr="00200A65" w:rsidRDefault="00200A65" w:rsidP="00200A65">
            <w:pPr>
              <w:pStyle w:val="NoSpacing"/>
              <w:rPr>
                <w:sz w:val="16"/>
                <w:szCs w:val="16"/>
              </w:rPr>
            </w:pPr>
          </w:p>
        </w:tc>
        <w:tc>
          <w:tcPr>
            <w:tcW w:w="450" w:type="dxa"/>
            <w:tcBorders>
              <w:top w:val="single" w:sz="6" w:space="0" w:color="000000"/>
              <w:left w:val="single" w:sz="6" w:space="0" w:color="000000"/>
              <w:bottom w:val="single" w:sz="6" w:space="0" w:color="000000"/>
              <w:right w:val="single" w:sz="18" w:space="0" w:color="000000"/>
            </w:tcBorders>
            <w:vAlign w:val="bottom"/>
          </w:tcPr>
          <w:p w:rsidR="00200A65" w:rsidRPr="00200A65" w:rsidRDefault="00200A65" w:rsidP="00200A65">
            <w:pPr>
              <w:pStyle w:val="NoSpacing"/>
              <w:rPr>
                <w:sz w:val="16"/>
                <w:szCs w:val="16"/>
              </w:rPr>
            </w:pPr>
          </w:p>
        </w:tc>
        <w:tc>
          <w:tcPr>
            <w:tcW w:w="2195" w:type="dxa"/>
            <w:tcBorders>
              <w:top w:val="single" w:sz="6" w:space="0" w:color="000000"/>
              <w:left w:val="single" w:sz="6" w:space="0" w:color="000000"/>
              <w:bottom w:val="single" w:sz="6" w:space="0" w:color="000000"/>
              <w:right w:val="single" w:sz="18" w:space="0" w:color="000000"/>
            </w:tcBorders>
            <w:hideMark/>
          </w:tcPr>
          <w:p w:rsidR="00200A65" w:rsidRPr="00200A65" w:rsidRDefault="00200A65" w:rsidP="00200A65">
            <w:pPr>
              <w:pStyle w:val="NoSpacing"/>
              <w:rPr>
                <w:sz w:val="16"/>
                <w:szCs w:val="16"/>
              </w:rPr>
            </w:pPr>
            <w:r w:rsidRPr="00200A65">
              <w:rPr>
                <w:sz w:val="16"/>
                <w:szCs w:val="16"/>
              </w:rPr>
              <w:t>States Objectives, Directions, Monitors; Clarifies; Smooth Transitions; HOTS</w:t>
            </w:r>
          </w:p>
        </w:tc>
      </w:tr>
    </w:tbl>
    <w:p w:rsidR="00200A65" w:rsidRPr="00200A65" w:rsidRDefault="00200A65" w:rsidP="00200A65">
      <w:pPr>
        <w:rPr>
          <w:rFonts w:ascii="Times New Roman" w:hAnsi="Times New Roman" w:cs="Times New Roman"/>
          <w:sz w:val="18"/>
          <w:szCs w:val="18"/>
        </w:rPr>
      </w:pPr>
    </w:p>
    <w:p w:rsidR="00200A65" w:rsidRPr="00200A65" w:rsidRDefault="00200A65" w:rsidP="00200A65">
      <w:pPr>
        <w:rPr>
          <w:rFonts w:ascii="Times New Roman" w:hAnsi="Times New Roman" w:cs="Times New Roman"/>
          <w:sz w:val="18"/>
          <w:szCs w:val="18"/>
        </w:rPr>
      </w:pPr>
      <w:r w:rsidRPr="00200A65">
        <w:rPr>
          <w:rFonts w:ascii="Times New Roman" w:hAnsi="Times New Roman" w:cs="Times New Roman"/>
          <w:sz w:val="18"/>
          <w:szCs w:val="18"/>
        </w:rPr>
        <w:t>LA Compass/Danielson Rubric</w:t>
      </w:r>
    </w:p>
    <w:p w:rsidR="00200A65" w:rsidRDefault="00200A65" w:rsidP="00200A65">
      <w:pPr>
        <w:jc w:val="both"/>
        <w:rPr>
          <w:b/>
        </w:rPr>
      </w:pPr>
      <w:r>
        <w:rPr>
          <w:b/>
        </w:rPr>
        <w:t>KEY:</w:t>
      </w:r>
    </w:p>
    <w:p w:rsidR="00200A65" w:rsidRDefault="00200A65" w:rsidP="00200A65">
      <w:pPr>
        <w:jc w:val="both"/>
        <w:rPr>
          <w:rFonts w:ascii="Times New Roman" w:hAnsi="Times New Roman"/>
          <w:sz w:val="24"/>
          <w:szCs w:val="24"/>
        </w:rPr>
      </w:pPr>
      <w:r>
        <w:rPr>
          <w:rFonts w:ascii="Times New Roman" w:hAnsi="Times New Roman"/>
          <w:sz w:val="24"/>
          <w:szCs w:val="24"/>
        </w:rPr>
        <w:t>Ineffective (1)</w:t>
      </w:r>
    </w:p>
    <w:p w:rsidR="00200A65" w:rsidRDefault="00200A65" w:rsidP="00200A65">
      <w:pPr>
        <w:pStyle w:val="NoSpacing"/>
        <w:numPr>
          <w:ilvl w:val="0"/>
          <w:numId w:val="10"/>
        </w:numPr>
      </w:pPr>
      <w:r>
        <w:t xml:space="preserve">Outcomes lack rigor. </w:t>
      </w:r>
    </w:p>
    <w:p w:rsidR="00200A65" w:rsidRDefault="00200A65" w:rsidP="00200A65">
      <w:pPr>
        <w:pStyle w:val="NoSpacing"/>
        <w:numPr>
          <w:ilvl w:val="0"/>
          <w:numId w:val="10"/>
        </w:numPr>
      </w:pPr>
      <w:r>
        <w:t xml:space="preserve">Outcomes do not </w:t>
      </w:r>
      <w:proofErr w:type="gramStart"/>
      <w:r>
        <w:t>represent  important</w:t>
      </w:r>
      <w:proofErr w:type="gramEnd"/>
      <w:r>
        <w:t xml:space="preserve"> learning in the discipline. </w:t>
      </w:r>
    </w:p>
    <w:p w:rsidR="00200A65" w:rsidRDefault="00200A65" w:rsidP="00200A65">
      <w:pPr>
        <w:pStyle w:val="NoSpacing"/>
        <w:numPr>
          <w:ilvl w:val="0"/>
          <w:numId w:val="10"/>
        </w:numPr>
      </w:pPr>
      <w:r>
        <w:t xml:space="preserve">Outcomes are not clear or </w:t>
      </w:r>
      <w:proofErr w:type="gramStart"/>
      <w:r>
        <w:t>are stated</w:t>
      </w:r>
      <w:proofErr w:type="gramEnd"/>
      <w:r>
        <w:t xml:space="preserve"> as activities. </w:t>
      </w:r>
    </w:p>
    <w:p w:rsidR="00200A65" w:rsidRDefault="00200A65" w:rsidP="00200A65">
      <w:pPr>
        <w:pStyle w:val="NoSpacing"/>
        <w:numPr>
          <w:ilvl w:val="0"/>
          <w:numId w:val="10"/>
        </w:numPr>
      </w:pPr>
      <w:r>
        <w:t xml:space="preserve">Outcomes are not suitable for many students in the class. </w:t>
      </w:r>
    </w:p>
    <w:p w:rsidR="00200A65" w:rsidRDefault="00200A65" w:rsidP="00200A65">
      <w:pPr>
        <w:jc w:val="both"/>
        <w:rPr>
          <w:rFonts w:ascii="Times New Roman" w:hAnsi="Times New Roman"/>
          <w:sz w:val="24"/>
          <w:szCs w:val="24"/>
        </w:rPr>
      </w:pPr>
      <w:r>
        <w:rPr>
          <w:rFonts w:ascii="Times New Roman" w:hAnsi="Times New Roman"/>
          <w:sz w:val="24"/>
          <w:szCs w:val="24"/>
        </w:rPr>
        <w:t>Effective: Emerging (2)</w:t>
      </w:r>
    </w:p>
    <w:p w:rsidR="00200A65" w:rsidRDefault="00200A65" w:rsidP="00200A65">
      <w:pPr>
        <w:pStyle w:val="NoSpacing"/>
        <w:numPr>
          <w:ilvl w:val="0"/>
          <w:numId w:val="11"/>
        </w:numPr>
      </w:pPr>
      <w:r>
        <w:t xml:space="preserve">Outcomes represent a mixture of low expectations and rigor. </w:t>
      </w:r>
    </w:p>
    <w:p w:rsidR="00200A65" w:rsidRDefault="00200A65" w:rsidP="00200A65">
      <w:pPr>
        <w:pStyle w:val="NoSpacing"/>
        <w:numPr>
          <w:ilvl w:val="0"/>
          <w:numId w:val="11"/>
        </w:numPr>
      </w:pPr>
      <w:r>
        <w:t xml:space="preserve">Some outcomes reflect important learning in the discipline. </w:t>
      </w:r>
    </w:p>
    <w:p w:rsidR="00200A65" w:rsidRDefault="00200A65" w:rsidP="00200A65">
      <w:pPr>
        <w:pStyle w:val="NoSpacing"/>
        <w:numPr>
          <w:ilvl w:val="0"/>
          <w:numId w:val="11"/>
        </w:numPr>
      </w:pPr>
      <w:r>
        <w:t xml:space="preserve">Outcomes are suitable for most of the class. </w:t>
      </w:r>
    </w:p>
    <w:p w:rsidR="00200A65" w:rsidRDefault="00200A65" w:rsidP="00200A65">
      <w:pPr>
        <w:jc w:val="both"/>
        <w:rPr>
          <w:rFonts w:ascii="Times New Roman" w:hAnsi="Times New Roman"/>
          <w:sz w:val="24"/>
          <w:szCs w:val="24"/>
        </w:rPr>
      </w:pPr>
      <w:r>
        <w:rPr>
          <w:rFonts w:ascii="Times New Roman" w:hAnsi="Times New Roman"/>
          <w:sz w:val="24"/>
          <w:szCs w:val="24"/>
        </w:rPr>
        <w:t>Effective: Proficient (3)</w:t>
      </w:r>
    </w:p>
    <w:p w:rsidR="00200A65" w:rsidRDefault="00200A65" w:rsidP="00200A65">
      <w:pPr>
        <w:pStyle w:val="NoSpacing"/>
        <w:numPr>
          <w:ilvl w:val="0"/>
          <w:numId w:val="12"/>
        </w:numPr>
      </w:pPr>
      <w:r>
        <w:t xml:space="preserve">Outcomes represent high expectations and rigor. </w:t>
      </w:r>
    </w:p>
    <w:p w:rsidR="00200A65" w:rsidRDefault="00200A65" w:rsidP="00200A65">
      <w:pPr>
        <w:pStyle w:val="NoSpacing"/>
        <w:numPr>
          <w:ilvl w:val="0"/>
          <w:numId w:val="12"/>
        </w:numPr>
      </w:pPr>
      <w:r>
        <w:t xml:space="preserve">Outcomes </w:t>
      </w:r>
      <w:proofErr w:type="gramStart"/>
      <w:r>
        <w:t>are related</w:t>
      </w:r>
      <w:proofErr w:type="gramEnd"/>
      <w:r>
        <w:t xml:space="preserve"> to “big ideas” of the discipline. </w:t>
      </w:r>
    </w:p>
    <w:p w:rsidR="00200A65" w:rsidRDefault="00200A65" w:rsidP="00200A65">
      <w:pPr>
        <w:pStyle w:val="NoSpacing"/>
        <w:numPr>
          <w:ilvl w:val="0"/>
          <w:numId w:val="12"/>
        </w:numPr>
      </w:pPr>
      <w:r>
        <w:t xml:space="preserve">Outcomes </w:t>
      </w:r>
      <w:proofErr w:type="gramStart"/>
      <w:r>
        <w:t>are written</w:t>
      </w:r>
      <w:proofErr w:type="gramEnd"/>
      <w:r>
        <w:t xml:space="preserve"> in terms of what students will learn rather than do. </w:t>
      </w:r>
    </w:p>
    <w:p w:rsidR="00200A65" w:rsidRDefault="00200A65" w:rsidP="00200A65">
      <w:pPr>
        <w:pStyle w:val="NoSpacing"/>
        <w:numPr>
          <w:ilvl w:val="0"/>
          <w:numId w:val="12"/>
        </w:numPr>
      </w:pPr>
      <w:r>
        <w:t xml:space="preserve">Outcomes represent a range of outcomes: factual, conceptual understanding, reasoning, social, management, communication. </w:t>
      </w:r>
    </w:p>
    <w:p w:rsidR="00200A65" w:rsidRPr="00200A65" w:rsidRDefault="00200A65" w:rsidP="00200A65">
      <w:pPr>
        <w:pStyle w:val="NoSpacing"/>
        <w:numPr>
          <w:ilvl w:val="0"/>
          <w:numId w:val="12"/>
        </w:numPr>
      </w:pPr>
      <w:r>
        <w:t xml:space="preserve">Outcomes are suitable to groups of students in the class, differentiated where necessary. </w:t>
      </w:r>
    </w:p>
    <w:p w:rsidR="00200A65" w:rsidRDefault="00200A65" w:rsidP="00200A65">
      <w:pPr>
        <w:jc w:val="both"/>
        <w:rPr>
          <w:rFonts w:ascii="Times New Roman" w:hAnsi="Times New Roman"/>
          <w:sz w:val="24"/>
          <w:szCs w:val="24"/>
        </w:rPr>
      </w:pPr>
      <w:r>
        <w:rPr>
          <w:rFonts w:ascii="Times New Roman" w:hAnsi="Times New Roman"/>
          <w:sz w:val="24"/>
          <w:szCs w:val="24"/>
        </w:rPr>
        <w:t>Highly Effective (4)</w:t>
      </w:r>
    </w:p>
    <w:p w:rsidR="00200A65" w:rsidRDefault="00200A65" w:rsidP="00200A65">
      <w:pPr>
        <w:spacing w:after="200" w:line="276" w:lineRule="auto"/>
        <w:jc w:val="both"/>
        <w:rPr>
          <w:rFonts w:ascii="Times New Roman" w:hAnsi="Times New Roman"/>
          <w:sz w:val="24"/>
          <w:szCs w:val="24"/>
        </w:rPr>
      </w:pPr>
      <w:r>
        <w:rPr>
          <w:rFonts w:ascii="Times New Roman" w:hAnsi="Times New Roman"/>
          <w:sz w:val="24"/>
          <w:szCs w:val="24"/>
        </w:rPr>
        <w:t xml:space="preserve">In addition to the characteristics of “proficient,” </w:t>
      </w:r>
    </w:p>
    <w:p w:rsidR="00200A65" w:rsidRDefault="00200A65" w:rsidP="00200A65">
      <w:pPr>
        <w:pStyle w:val="NoSpacing"/>
        <w:numPr>
          <w:ilvl w:val="0"/>
          <w:numId w:val="13"/>
        </w:numPr>
      </w:pPr>
      <w:r>
        <w:t xml:space="preserve">Teacher plans reference curricular frameworks or blueprints to ensure accurate sequencing. </w:t>
      </w:r>
    </w:p>
    <w:p w:rsidR="00200A65" w:rsidRDefault="00200A65" w:rsidP="00200A65">
      <w:pPr>
        <w:pStyle w:val="NoSpacing"/>
        <w:numPr>
          <w:ilvl w:val="0"/>
          <w:numId w:val="13"/>
        </w:numPr>
      </w:pPr>
      <w:r>
        <w:t xml:space="preserve">Teacher connects outcomes to previous and future learning </w:t>
      </w:r>
    </w:p>
    <w:p w:rsidR="00200A65" w:rsidRDefault="00200A65" w:rsidP="00200A65">
      <w:pPr>
        <w:pStyle w:val="NoSpacing"/>
        <w:numPr>
          <w:ilvl w:val="0"/>
          <w:numId w:val="13"/>
        </w:numPr>
      </w:pPr>
      <w:r>
        <w:t xml:space="preserve">Outcomes </w:t>
      </w:r>
      <w:proofErr w:type="gramStart"/>
      <w:r>
        <w:t>are differentiated</w:t>
      </w:r>
      <w:proofErr w:type="gramEnd"/>
      <w:r>
        <w:t xml:space="preserve"> to encourage individual students to take educational risks. </w:t>
      </w:r>
    </w:p>
    <w:p w:rsidR="00200A65" w:rsidRDefault="00200A65" w:rsidP="00200A65">
      <w:pPr>
        <w:rPr>
          <w:rFonts w:ascii="Times New Roman" w:eastAsia="ヒラギノ角ゴ Pro W3" w:hAnsi="Times New Roman"/>
          <w:b/>
          <w:color w:val="000000"/>
          <w:sz w:val="24"/>
          <w:szCs w:val="24"/>
        </w:rPr>
        <w:sectPr w:rsidR="00200A65" w:rsidSect="00200A65">
          <w:pgSz w:w="15840" w:h="12240" w:orient="landscape"/>
          <w:pgMar w:top="1440" w:right="1440" w:bottom="1440" w:left="1440" w:header="720" w:footer="720" w:gutter="0"/>
          <w:cols w:space="720"/>
          <w:docGrid w:linePitch="360"/>
        </w:sectPr>
      </w:pPr>
    </w:p>
    <w:p w:rsidR="00200A65" w:rsidRDefault="00200A65" w:rsidP="00200A65">
      <w:pPr>
        <w:rPr>
          <w:rFonts w:ascii="Times New Roman" w:hAnsi="Times New Roman"/>
          <w:b/>
          <w:sz w:val="24"/>
          <w:szCs w:val="24"/>
        </w:rPr>
      </w:pPr>
      <w:r>
        <w:rPr>
          <w:rFonts w:ascii="Times New Roman" w:eastAsia="ヒラギノ角ゴ Pro W3" w:hAnsi="Times New Roman"/>
          <w:b/>
          <w:color w:val="000000"/>
          <w:sz w:val="24"/>
          <w:szCs w:val="24"/>
        </w:rPr>
        <w:lastRenderedPageBreak/>
        <w:t>3. A Brief Analysis of Data Findings</w:t>
      </w:r>
    </w:p>
    <w:p w:rsidR="00200A65" w:rsidRDefault="00200A65" w:rsidP="00200A65">
      <w:pPr>
        <w:spacing w:line="256" w:lineRule="auto"/>
        <w:rPr>
          <w:rFonts w:ascii="Times New Roman" w:hAnsi="Times New Roman"/>
          <w:sz w:val="24"/>
          <w:szCs w:val="24"/>
        </w:rPr>
      </w:pPr>
      <w:r>
        <w:rPr>
          <w:rFonts w:ascii="Times New Roman" w:hAnsi="Times New Roman"/>
          <w:sz w:val="24"/>
          <w:szCs w:val="24"/>
        </w:rPr>
        <w:t xml:space="preserve">The data in the Teacher Candidate Evaluation demonstrates how well candidates during the </w:t>
      </w:r>
      <w:proofErr w:type="gramStart"/>
      <w:r>
        <w:rPr>
          <w:rFonts w:ascii="Times New Roman" w:hAnsi="Times New Roman"/>
          <w:sz w:val="24"/>
          <w:szCs w:val="24"/>
        </w:rPr>
        <w:t>Spring</w:t>
      </w:r>
      <w:proofErr w:type="gramEnd"/>
      <w:r>
        <w:rPr>
          <w:rFonts w:ascii="Times New Roman" w:hAnsi="Times New Roman"/>
          <w:sz w:val="24"/>
          <w:szCs w:val="24"/>
        </w:rPr>
        <w:t xml:space="preserve"> 2018 semester performed on individual evaluations. The rubric individual percentages in each domain explain the overall percentage of total points the candidates received within each domain. The rubric categorizes candidates on a scale (</w:t>
      </w:r>
      <w:proofErr w:type="gramStart"/>
      <w:r>
        <w:rPr>
          <w:rFonts w:ascii="Times New Roman" w:hAnsi="Times New Roman"/>
          <w:sz w:val="24"/>
          <w:szCs w:val="24"/>
        </w:rPr>
        <w:t>1=</w:t>
      </w:r>
      <w:proofErr w:type="gramEnd"/>
      <w:r>
        <w:rPr>
          <w:rFonts w:ascii="Times New Roman" w:hAnsi="Times New Roman"/>
          <w:sz w:val="24"/>
          <w:szCs w:val="24"/>
        </w:rPr>
        <w:t xml:space="preserve">ineffective, 2=effective emerging, 3= effective proficient and 4=highly effective. Candidates demonstrated an effective proficient attribute score (mean 3.3) in Domain I, Planning and preparation. Candidates scored the highest (highly effective, 3.5 mean) in the categories of Specifying learner outcomes in clear, concise objectives (IA1) and Identifying and planning for individuals differences (IA3). Candidates demonstrated a highly effective attribute score (mean 3.7) in Domain II, </w:t>
      </w:r>
      <w:proofErr w:type="gramStart"/>
      <w:r>
        <w:rPr>
          <w:rFonts w:ascii="Times New Roman" w:hAnsi="Times New Roman"/>
          <w:sz w:val="24"/>
          <w:szCs w:val="24"/>
        </w:rPr>
        <w:t>The</w:t>
      </w:r>
      <w:proofErr w:type="gramEnd"/>
      <w:r>
        <w:rPr>
          <w:rFonts w:ascii="Times New Roman" w:hAnsi="Times New Roman"/>
          <w:sz w:val="24"/>
          <w:szCs w:val="24"/>
        </w:rPr>
        <w:t xml:space="preserve"> Classroom environment. Candidates scored highly effective in all categories within this domain. Candidates’ highest scores within this domain were (IIB2) Manages Routines and Transitions in a Timely Manner (3.75 mean). Candidates demonstrated a highly effective attribute score (mean 3.5) in Domain III, Instruction. The highest scores within Domain III were (IIIC4) Encourages Candidate Participation and (IIID1) </w:t>
      </w:r>
      <w:proofErr w:type="gramStart"/>
      <w:r>
        <w:rPr>
          <w:rFonts w:ascii="Times New Roman" w:hAnsi="Times New Roman"/>
          <w:sz w:val="24"/>
          <w:szCs w:val="24"/>
        </w:rPr>
        <w:t>Consistently</w:t>
      </w:r>
      <w:proofErr w:type="gramEnd"/>
      <w:r>
        <w:rPr>
          <w:rFonts w:ascii="Times New Roman" w:hAnsi="Times New Roman"/>
          <w:sz w:val="24"/>
          <w:szCs w:val="24"/>
        </w:rPr>
        <w:t xml:space="preserve"> monitors ongoing performance of candidates (3.8 mean). Candidates demonstrated a highly effective attribute score (mean 3.5) in Domain IV, Professional Development. The highest score within Domain IV was (IVA1) Identifies areas of instruction that need strengthening, develops a plan for improvement with mentor or principal, and works to complete the plan (3.6 mean). Candidates demonstrated effective proficient attribute score (mean 3.3) in Domain V Technology. </w:t>
      </w:r>
      <w:proofErr w:type="gramStart"/>
      <w:r>
        <w:rPr>
          <w:rFonts w:ascii="Times New Roman" w:hAnsi="Times New Roman"/>
          <w:sz w:val="24"/>
          <w:szCs w:val="24"/>
        </w:rPr>
        <w:t>The highest score within Domain V was (V2) designs, develops and evaluates authentic learning experiences and assessment incorporating contemporary tools and resources to maximize content learning in content and to develop the knowledge, skills and attitudes identified.</w:t>
      </w:r>
      <w:proofErr w:type="gramEnd"/>
      <w:r>
        <w:rPr>
          <w:rFonts w:ascii="Times New Roman" w:hAnsi="Times New Roman"/>
          <w:sz w:val="24"/>
          <w:szCs w:val="24"/>
        </w:rPr>
        <w:t xml:space="preserve"> (3.4 mean). </w:t>
      </w:r>
    </w:p>
    <w:p w:rsidR="00200A65" w:rsidRDefault="00200A65" w:rsidP="00200A65">
      <w:pPr>
        <w:rPr>
          <w:rFonts w:ascii="Times New Roman" w:hAnsi="Times New Roman"/>
          <w:b/>
          <w:sz w:val="24"/>
          <w:szCs w:val="24"/>
        </w:rPr>
      </w:pPr>
      <w:r>
        <w:rPr>
          <w:rFonts w:ascii="Times New Roman" w:hAnsi="Times New Roman"/>
          <w:b/>
          <w:sz w:val="24"/>
          <w:szCs w:val="24"/>
        </w:rPr>
        <w:t>4.  An interpretation of how that data provides evidence for meeting standards.</w:t>
      </w:r>
    </w:p>
    <w:p w:rsidR="00200A65" w:rsidRDefault="00200A65" w:rsidP="00200A65">
      <w:pPr>
        <w:spacing w:line="256" w:lineRule="auto"/>
        <w:rPr>
          <w:rFonts w:ascii="Times New Roman" w:hAnsi="Times New Roman"/>
          <w:sz w:val="24"/>
          <w:szCs w:val="24"/>
        </w:rPr>
      </w:pPr>
      <w:r>
        <w:rPr>
          <w:rFonts w:ascii="Times New Roman" w:hAnsi="Times New Roman"/>
          <w:sz w:val="24"/>
          <w:szCs w:val="24"/>
        </w:rPr>
        <w:t xml:space="preserve">Based on the data in the Teacher Candidate Education Evaluation, Grambling State candidates demonstrated mastery as scores were in the highly effective attribute score range for three of the five domains (II, III &amp; IV ) and effective proficient attribute score range for two domains (I &amp; V). The mean scores of Domain II (3.7), Domain III (3.5) and Domain IV (3.5) categorized the candidates as being highly effective attributes within these domains. Candidates scored with highly effective attributes within all categories of Domain II. The mean scores of Domain I (3.3) and Domain V (3.3) categorizes the candidates as being effective proficient attributes within these domains.  </w:t>
      </w:r>
    </w:p>
    <w:p w:rsidR="00200A65" w:rsidRDefault="00200A65" w:rsidP="00200A65">
      <w:pPr>
        <w:rPr>
          <w:rFonts w:ascii="Times New Roman" w:hAnsi="Times New Roman"/>
          <w:sz w:val="24"/>
          <w:szCs w:val="24"/>
        </w:rPr>
      </w:pPr>
      <w:bookmarkStart w:id="0" w:name="_GoBack"/>
      <w:bookmarkEnd w:id="0"/>
    </w:p>
    <w:p w:rsidR="00D679B8" w:rsidRPr="00E118A4" w:rsidRDefault="00A94588">
      <w:pPr>
        <w:rPr>
          <w:rFonts w:ascii="Times New Roman" w:hAnsi="Times New Roman" w:cs="Times New Roman"/>
          <w:b/>
          <w:color w:val="FF0000"/>
          <w:sz w:val="24"/>
          <w:szCs w:val="24"/>
          <w:shd w:val="clear" w:color="auto" w:fill="FFFFFF"/>
        </w:rPr>
      </w:pPr>
      <w:r w:rsidRPr="00E118A4">
        <w:rPr>
          <w:rFonts w:ascii="Times New Roman" w:hAnsi="Times New Roman" w:cs="Times New Roman"/>
          <w:b/>
          <w:color w:val="FF0000"/>
          <w:sz w:val="24"/>
          <w:szCs w:val="24"/>
          <w:shd w:val="clear" w:color="auto" w:fill="FFFFFF"/>
        </w:rPr>
        <w:t xml:space="preserve">Measure 3: </w:t>
      </w:r>
      <w:r w:rsidR="005F754A" w:rsidRPr="00E118A4">
        <w:rPr>
          <w:rFonts w:ascii="Times New Roman" w:hAnsi="Times New Roman" w:cs="Times New Roman"/>
          <w:b/>
          <w:color w:val="FF0000"/>
          <w:sz w:val="24"/>
          <w:szCs w:val="24"/>
          <w:shd w:val="clear" w:color="auto" w:fill="FFFFFF"/>
        </w:rPr>
        <w:t>Satisfaction of employers and employment milestones</w:t>
      </w:r>
    </w:p>
    <w:p w:rsidR="005F754A" w:rsidRPr="00E118A4" w:rsidRDefault="0001082E">
      <w:pPr>
        <w:rPr>
          <w:rFonts w:ascii="Times New Roman" w:hAnsi="Times New Roman" w:cs="Times New Roman"/>
          <w:sz w:val="24"/>
          <w:szCs w:val="24"/>
          <w:shd w:val="clear" w:color="auto" w:fill="FFFFFF"/>
        </w:rPr>
      </w:pPr>
      <w:r w:rsidRPr="00E118A4">
        <w:rPr>
          <w:rFonts w:ascii="Times New Roman" w:hAnsi="Times New Roman" w:cs="Times New Roman"/>
          <w:sz w:val="24"/>
          <w:szCs w:val="24"/>
          <w:shd w:val="clear" w:color="auto" w:fill="FFFFFF"/>
        </w:rPr>
        <w:t xml:space="preserve">The Employee Questionnaire </w:t>
      </w:r>
      <w:proofErr w:type="gramStart"/>
      <w:r w:rsidRPr="00E118A4">
        <w:rPr>
          <w:rFonts w:ascii="Times New Roman" w:hAnsi="Times New Roman" w:cs="Times New Roman"/>
          <w:sz w:val="24"/>
          <w:szCs w:val="24"/>
          <w:shd w:val="clear" w:color="auto" w:fill="FFFFFF"/>
        </w:rPr>
        <w:t>is distributed</w:t>
      </w:r>
      <w:proofErr w:type="gramEnd"/>
      <w:r w:rsidRPr="00E118A4">
        <w:rPr>
          <w:rFonts w:ascii="Times New Roman" w:hAnsi="Times New Roman" w:cs="Times New Roman"/>
          <w:sz w:val="24"/>
          <w:szCs w:val="24"/>
          <w:shd w:val="clear" w:color="auto" w:fill="FFFFFF"/>
        </w:rPr>
        <w:t xml:space="preserve"> annually to Louisiana school district principals to measure their satisfaction of the preparation of the College of Education’s teacher education graduates for their assigned responsibilities in working with P-12 students.</w:t>
      </w:r>
    </w:p>
    <w:p w:rsidR="00E118A4" w:rsidRPr="00E118A4" w:rsidRDefault="00E118A4">
      <w:pPr>
        <w:rPr>
          <w:rFonts w:ascii="Times New Roman" w:hAnsi="Times New Roman" w:cs="Times New Roman"/>
          <w:sz w:val="24"/>
          <w:szCs w:val="24"/>
          <w:shd w:val="clear" w:color="auto" w:fill="FFFFFF"/>
        </w:rPr>
      </w:pPr>
      <w:r w:rsidRPr="00E118A4">
        <w:rPr>
          <w:rFonts w:ascii="Times New Roman" w:hAnsi="Times New Roman" w:cs="Times New Roman"/>
          <w:color w:val="0A0A0A"/>
          <w:sz w:val="24"/>
          <w:szCs w:val="24"/>
          <w:shd w:val="clear" w:color="auto" w:fill="F7F7F7"/>
        </w:rPr>
        <w:t xml:space="preserve">A data chart </w:t>
      </w:r>
      <w:proofErr w:type="gramStart"/>
      <w:r w:rsidRPr="00E118A4">
        <w:rPr>
          <w:rFonts w:ascii="Times New Roman" w:hAnsi="Times New Roman" w:cs="Times New Roman"/>
          <w:color w:val="0A0A0A"/>
          <w:sz w:val="24"/>
          <w:szCs w:val="24"/>
          <w:shd w:val="clear" w:color="auto" w:fill="F7F7F7"/>
        </w:rPr>
        <w:t>is not provided</w:t>
      </w:r>
      <w:proofErr w:type="gramEnd"/>
      <w:r>
        <w:rPr>
          <w:rFonts w:ascii="Times New Roman" w:hAnsi="Times New Roman" w:cs="Times New Roman"/>
          <w:color w:val="0A0A0A"/>
          <w:sz w:val="24"/>
          <w:szCs w:val="24"/>
          <w:shd w:val="clear" w:color="auto" w:fill="F7F7F7"/>
        </w:rPr>
        <w:t xml:space="preserve"> </w:t>
      </w:r>
      <w:r w:rsidRPr="00E118A4">
        <w:rPr>
          <w:rFonts w:ascii="Times New Roman" w:hAnsi="Times New Roman" w:cs="Times New Roman"/>
          <w:color w:val="0A0A0A"/>
          <w:sz w:val="24"/>
          <w:szCs w:val="24"/>
          <w:shd w:val="clear" w:color="auto" w:fill="F7F7F7"/>
        </w:rPr>
        <w:t>because the number of respondents is too low to receive data.</w:t>
      </w:r>
    </w:p>
    <w:p w:rsidR="00D679B8" w:rsidRPr="00E118A4" w:rsidRDefault="0001082E">
      <w:pPr>
        <w:rPr>
          <w:rFonts w:ascii="Times New Roman" w:hAnsi="Times New Roman" w:cs="Times New Roman"/>
          <w:sz w:val="24"/>
          <w:szCs w:val="24"/>
        </w:rPr>
      </w:pPr>
      <w:r w:rsidRPr="00E118A4">
        <w:rPr>
          <w:rFonts w:ascii="Times New Roman" w:hAnsi="Times New Roman" w:cs="Times New Roman"/>
          <w:sz w:val="24"/>
          <w:szCs w:val="24"/>
          <w:shd w:val="clear" w:color="auto" w:fill="FFFFFF"/>
        </w:rPr>
        <w:lastRenderedPageBreak/>
        <w:t xml:space="preserve">We are working towards developing relationships with employers to improve responses to Employee </w:t>
      </w:r>
      <w:r w:rsidR="00707A2D" w:rsidRPr="00E118A4">
        <w:rPr>
          <w:rFonts w:ascii="Times New Roman" w:hAnsi="Times New Roman" w:cs="Times New Roman"/>
          <w:sz w:val="24"/>
          <w:szCs w:val="24"/>
          <w:shd w:val="clear" w:color="auto" w:fill="FFFFFF"/>
        </w:rPr>
        <w:t>Questionnaire,</w:t>
      </w:r>
      <w:r w:rsidRPr="00E118A4">
        <w:rPr>
          <w:rFonts w:ascii="Times New Roman" w:hAnsi="Times New Roman" w:cs="Times New Roman"/>
          <w:sz w:val="24"/>
          <w:szCs w:val="24"/>
          <w:shd w:val="clear" w:color="auto" w:fill="FFFFFF"/>
        </w:rPr>
        <w:t xml:space="preserve"> as employers may perceive there to be issues of confidentiality. </w:t>
      </w:r>
    </w:p>
    <w:p w:rsidR="00D679B8" w:rsidRPr="00E118A4" w:rsidRDefault="00D679B8">
      <w:pPr>
        <w:rPr>
          <w:rFonts w:ascii="Times New Roman" w:hAnsi="Times New Roman" w:cs="Times New Roman"/>
          <w:color w:val="FF0000"/>
          <w:sz w:val="24"/>
          <w:szCs w:val="24"/>
        </w:rPr>
      </w:pPr>
      <w:r w:rsidRPr="00E118A4">
        <w:rPr>
          <w:rFonts w:ascii="Times New Roman" w:hAnsi="Times New Roman" w:cs="Times New Roman"/>
          <w:b/>
          <w:color w:val="FF0000"/>
          <w:sz w:val="24"/>
          <w:szCs w:val="24"/>
        </w:rPr>
        <w:t>Measure 4</w:t>
      </w:r>
      <w:r w:rsidR="007F69C6" w:rsidRPr="00E118A4">
        <w:rPr>
          <w:rFonts w:ascii="Times New Roman" w:hAnsi="Times New Roman" w:cs="Times New Roman"/>
          <w:b/>
          <w:color w:val="FF0000"/>
          <w:sz w:val="24"/>
          <w:szCs w:val="24"/>
        </w:rPr>
        <w:t>:</w:t>
      </w:r>
      <w:r w:rsidR="007F69C6" w:rsidRPr="00E118A4">
        <w:rPr>
          <w:rFonts w:ascii="Times New Roman" w:hAnsi="Times New Roman" w:cs="Times New Roman"/>
          <w:color w:val="FF0000"/>
          <w:sz w:val="24"/>
          <w:szCs w:val="24"/>
        </w:rPr>
        <w:t xml:space="preserve"> </w:t>
      </w:r>
      <w:r w:rsidRPr="00E118A4">
        <w:rPr>
          <w:rStyle w:val="Strong"/>
          <w:rFonts w:ascii="Times New Roman" w:hAnsi="Times New Roman" w:cs="Times New Roman"/>
          <w:color w:val="FF0000"/>
          <w:sz w:val="24"/>
          <w:szCs w:val="24"/>
          <w:shd w:val="clear" w:color="auto" w:fill="FFFFFF"/>
        </w:rPr>
        <w:t>Satisfaction of completers.</w:t>
      </w:r>
    </w:p>
    <w:p w:rsidR="00D679B8" w:rsidRPr="00E118A4" w:rsidRDefault="00D679B8">
      <w:pPr>
        <w:rPr>
          <w:rFonts w:ascii="Times New Roman" w:hAnsi="Times New Roman" w:cs="Times New Roman"/>
          <w:sz w:val="24"/>
          <w:szCs w:val="24"/>
          <w:shd w:val="clear" w:color="auto" w:fill="FFFFFF"/>
        </w:rPr>
      </w:pPr>
      <w:r w:rsidRPr="00E118A4">
        <w:rPr>
          <w:rFonts w:ascii="Times New Roman" w:hAnsi="Times New Roman" w:cs="Times New Roman"/>
          <w:sz w:val="24"/>
          <w:szCs w:val="24"/>
          <w:shd w:val="clear" w:color="auto" w:fill="FFFFFF"/>
        </w:rPr>
        <w:t xml:space="preserve">The Follow-Up survey </w:t>
      </w:r>
      <w:proofErr w:type="gramStart"/>
      <w:r w:rsidRPr="00E118A4">
        <w:rPr>
          <w:rFonts w:ascii="Times New Roman" w:hAnsi="Times New Roman" w:cs="Times New Roman"/>
          <w:sz w:val="24"/>
          <w:szCs w:val="24"/>
          <w:shd w:val="clear" w:color="auto" w:fill="FFFFFF"/>
        </w:rPr>
        <w:t>is distributed</w:t>
      </w:r>
      <w:proofErr w:type="gramEnd"/>
      <w:r w:rsidRPr="00E118A4">
        <w:rPr>
          <w:rFonts w:ascii="Times New Roman" w:hAnsi="Times New Roman" w:cs="Times New Roman"/>
          <w:sz w:val="24"/>
          <w:szCs w:val="24"/>
          <w:shd w:val="clear" w:color="auto" w:fill="FFFFFF"/>
        </w:rPr>
        <w:t xml:space="preserve"> annually to program completers who are employed in Louisiana school districts to measure their satisfaction with the preparation received in the College of Education’s teacher education programs and to provide feedback regarding areas of improvement.</w:t>
      </w:r>
    </w:p>
    <w:p w:rsidR="00D679B8" w:rsidRPr="00E118A4" w:rsidRDefault="00D679B8">
      <w:pPr>
        <w:rPr>
          <w:rFonts w:ascii="Times New Roman" w:hAnsi="Times New Roman" w:cs="Times New Roman"/>
          <w:sz w:val="24"/>
          <w:szCs w:val="24"/>
          <w:shd w:val="clear" w:color="auto" w:fill="FFFFFF"/>
        </w:rPr>
      </w:pPr>
      <w:r w:rsidRPr="00E118A4">
        <w:rPr>
          <w:rFonts w:ascii="Times New Roman" w:hAnsi="Times New Roman" w:cs="Times New Roman"/>
          <w:sz w:val="24"/>
          <w:szCs w:val="24"/>
          <w:shd w:val="clear" w:color="auto" w:fill="FFFFFF"/>
        </w:rPr>
        <w:t xml:space="preserve">Overall, our completers are </w:t>
      </w:r>
      <w:r w:rsidR="00925BC9" w:rsidRPr="00E118A4">
        <w:rPr>
          <w:rFonts w:ascii="Times New Roman" w:hAnsi="Times New Roman" w:cs="Times New Roman"/>
          <w:sz w:val="24"/>
          <w:szCs w:val="24"/>
          <w:shd w:val="clear" w:color="auto" w:fill="FFFFFF"/>
        </w:rPr>
        <w:t xml:space="preserve">very </w:t>
      </w:r>
      <w:r w:rsidRPr="00E118A4">
        <w:rPr>
          <w:rFonts w:ascii="Times New Roman" w:hAnsi="Times New Roman" w:cs="Times New Roman"/>
          <w:sz w:val="24"/>
          <w:szCs w:val="24"/>
          <w:shd w:val="clear" w:color="auto" w:fill="FFFFFF"/>
        </w:rPr>
        <w:t xml:space="preserve">satisfied with the preparation they received while in their program. We continue to monitor this </w:t>
      </w:r>
      <w:r w:rsidR="00707A2D" w:rsidRPr="00E118A4">
        <w:rPr>
          <w:rFonts w:ascii="Times New Roman" w:hAnsi="Times New Roman" w:cs="Times New Roman"/>
          <w:sz w:val="24"/>
          <w:szCs w:val="24"/>
          <w:shd w:val="clear" w:color="auto" w:fill="FFFFFF"/>
        </w:rPr>
        <w:t>measure,</w:t>
      </w:r>
      <w:r w:rsidRPr="00E118A4">
        <w:rPr>
          <w:rFonts w:ascii="Times New Roman" w:hAnsi="Times New Roman" w:cs="Times New Roman"/>
          <w:sz w:val="24"/>
          <w:szCs w:val="24"/>
          <w:shd w:val="clear" w:color="auto" w:fill="FFFFFF"/>
        </w:rPr>
        <w:t xml:space="preserve"> as we believe it is vital to better preparing our candidates.</w:t>
      </w:r>
    </w:p>
    <w:tbl>
      <w:tblPr>
        <w:tblStyle w:val="TableGrid"/>
        <w:tblW w:w="0" w:type="auto"/>
        <w:tblLook w:val="04A0" w:firstRow="1" w:lastRow="0" w:firstColumn="1" w:lastColumn="0" w:noHBand="0" w:noVBand="1"/>
      </w:tblPr>
      <w:tblGrid>
        <w:gridCol w:w="3116"/>
        <w:gridCol w:w="1558"/>
        <w:gridCol w:w="1559"/>
        <w:gridCol w:w="1558"/>
        <w:gridCol w:w="1559"/>
      </w:tblGrid>
      <w:tr w:rsidR="00E118A4" w:rsidRPr="00E118A4" w:rsidTr="00D679B8">
        <w:tc>
          <w:tcPr>
            <w:tcW w:w="3116" w:type="dxa"/>
          </w:tcPr>
          <w:p w:rsidR="00D679B8" w:rsidRPr="00E118A4" w:rsidRDefault="00D679B8" w:rsidP="00D679B8">
            <w:pPr>
              <w:tabs>
                <w:tab w:val="left" w:pos="360"/>
                <w:tab w:val="left" w:pos="720"/>
                <w:tab w:val="left" w:pos="1080"/>
                <w:tab w:val="left" w:pos="1440"/>
                <w:tab w:val="left" w:pos="1800"/>
                <w:tab w:val="left" w:pos="2160"/>
              </w:tabs>
              <w:rPr>
                <w:rFonts w:ascii="Times New Roman" w:hAnsi="Times New Roman" w:cs="Times New Roman"/>
                <w:sz w:val="24"/>
                <w:szCs w:val="24"/>
              </w:rPr>
            </w:pPr>
            <w:r w:rsidRPr="00E118A4">
              <w:rPr>
                <w:rFonts w:ascii="Times New Roman" w:hAnsi="Times New Roman" w:cs="Times New Roman"/>
                <w:sz w:val="24"/>
                <w:szCs w:val="24"/>
              </w:rPr>
              <w:t>How satisfied are you with the education you received from the Teacher Preparation Program at Grambling State University.</w:t>
            </w:r>
          </w:p>
        </w:tc>
        <w:tc>
          <w:tcPr>
            <w:tcW w:w="3117" w:type="dxa"/>
            <w:gridSpan w:val="2"/>
          </w:tcPr>
          <w:p w:rsidR="00D679B8" w:rsidRPr="00E118A4" w:rsidRDefault="00D679B8" w:rsidP="00D679B8">
            <w:pPr>
              <w:jc w:val="center"/>
              <w:rPr>
                <w:rFonts w:ascii="Times New Roman" w:hAnsi="Times New Roman" w:cs="Times New Roman"/>
                <w:sz w:val="24"/>
                <w:szCs w:val="24"/>
              </w:rPr>
            </w:pPr>
            <w:r w:rsidRPr="00E118A4">
              <w:rPr>
                <w:rFonts w:ascii="Times New Roman" w:hAnsi="Times New Roman" w:cs="Times New Roman"/>
                <w:sz w:val="24"/>
                <w:szCs w:val="24"/>
              </w:rPr>
              <w:t>2018-19</w:t>
            </w:r>
          </w:p>
          <w:p w:rsidR="00D679B8" w:rsidRPr="00E118A4" w:rsidRDefault="00925BC9" w:rsidP="00D679B8">
            <w:pPr>
              <w:jc w:val="center"/>
              <w:rPr>
                <w:rFonts w:ascii="Times New Roman" w:hAnsi="Times New Roman" w:cs="Times New Roman"/>
                <w:sz w:val="24"/>
                <w:szCs w:val="24"/>
              </w:rPr>
            </w:pPr>
            <w:r w:rsidRPr="00E118A4">
              <w:rPr>
                <w:rFonts w:ascii="Times New Roman" w:hAnsi="Times New Roman" w:cs="Times New Roman"/>
                <w:sz w:val="24"/>
                <w:szCs w:val="24"/>
              </w:rPr>
              <w:t>Initial</w:t>
            </w:r>
          </w:p>
        </w:tc>
        <w:tc>
          <w:tcPr>
            <w:tcW w:w="3117" w:type="dxa"/>
            <w:gridSpan w:val="2"/>
          </w:tcPr>
          <w:p w:rsidR="00D679B8" w:rsidRPr="00E118A4" w:rsidRDefault="00D679B8" w:rsidP="00D679B8">
            <w:pPr>
              <w:jc w:val="center"/>
              <w:rPr>
                <w:rFonts w:ascii="Times New Roman" w:hAnsi="Times New Roman" w:cs="Times New Roman"/>
                <w:sz w:val="24"/>
                <w:szCs w:val="24"/>
              </w:rPr>
            </w:pPr>
            <w:r w:rsidRPr="00E118A4">
              <w:rPr>
                <w:rFonts w:ascii="Times New Roman" w:hAnsi="Times New Roman" w:cs="Times New Roman"/>
                <w:sz w:val="24"/>
                <w:szCs w:val="24"/>
              </w:rPr>
              <w:t>2018-19</w:t>
            </w:r>
          </w:p>
          <w:p w:rsidR="00D679B8" w:rsidRPr="00E118A4" w:rsidRDefault="00D679B8" w:rsidP="00D679B8">
            <w:pPr>
              <w:jc w:val="center"/>
              <w:rPr>
                <w:rFonts w:ascii="Times New Roman" w:hAnsi="Times New Roman" w:cs="Times New Roman"/>
                <w:sz w:val="24"/>
                <w:szCs w:val="24"/>
              </w:rPr>
            </w:pPr>
            <w:r w:rsidRPr="00E118A4">
              <w:rPr>
                <w:rFonts w:ascii="Times New Roman" w:hAnsi="Times New Roman" w:cs="Times New Roman"/>
                <w:sz w:val="24"/>
                <w:szCs w:val="24"/>
              </w:rPr>
              <w:t>Advanced</w:t>
            </w:r>
          </w:p>
        </w:tc>
      </w:tr>
      <w:tr w:rsidR="00E118A4" w:rsidRPr="00E118A4" w:rsidTr="0070301F">
        <w:tc>
          <w:tcPr>
            <w:tcW w:w="3116" w:type="dxa"/>
          </w:tcPr>
          <w:p w:rsidR="00D679B8" w:rsidRPr="00E118A4" w:rsidRDefault="00D679B8" w:rsidP="00D679B8">
            <w:pPr>
              <w:jc w:val="center"/>
              <w:rPr>
                <w:rFonts w:ascii="Times New Roman" w:hAnsi="Times New Roman" w:cs="Times New Roman"/>
                <w:sz w:val="24"/>
                <w:szCs w:val="24"/>
              </w:rPr>
            </w:pPr>
            <w:r w:rsidRPr="00E118A4">
              <w:rPr>
                <w:rFonts w:ascii="Times New Roman" w:hAnsi="Times New Roman" w:cs="Times New Roman"/>
                <w:sz w:val="24"/>
                <w:szCs w:val="24"/>
              </w:rPr>
              <w:t>Very Dissatisfied</w:t>
            </w:r>
          </w:p>
        </w:tc>
        <w:tc>
          <w:tcPr>
            <w:tcW w:w="1558" w:type="dxa"/>
          </w:tcPr>
          <w:p w:rsidR="00D679B8" w:rsidRPr="00E118A4" w:rsidRDefault="00D679B8">
            <w:pPr>
              <w:rPr>
                <w:rFonts w:ascii="Times New Roman" w:hAnsi="Times New Roman" w:cs="Times New Roman"/>
                <w:sz w:val="24"/>
                <w:szCs w:val="24"/>
              </w:rPr>
            </w:pPr>
          </w:p>
        </w:tc>
        <w:tc>
          <w:tcPr>
            <w:tcW w:w="1559" w:type="dxa"/>
          </w:tcPr>
          <w:p w:rsidR="00D679B8" w:rsidRPr="00E118A4" w:rsidRDefault="00D679B8">
            <w:pPr>
              <w:rPr>
                <w:rFonts w:ascii="Times New Roman" w:hAnsi="Times New Roman" w:cs="Times New Roman"/>
                <w:sz w:val="24"/>
                <w:szCs w:val="24"/>
              </w:rPr>
            </w:pPr>
          </w:p>
        </w:tc>
        <w:tc>
          <w:tcPr>
            <w:tcW w:w="1558" w:type="dxa"/>
          </w:tcPr>
          <w:p w:rsidR="00D679B8" w:rsidRPr="00E118A4" w:rsidRDefault="00D679B8">
            <w:pPr>
              <w:rPr>
                <w:rFonts w:ascii="Times New Roman" w:hAnsi="Times New Roman" w:cs="Times New Roman"/>
                <w:sz w:val="24"/>
                <w:szCs w:val="24"/>
              </w:rPr>
            </w:pPr>
          </w:p>
        </w:tc>
        <w:tc>
          <w:tcPr>
            <w:tcW w:w="1559" w:type="dxa"/>
          </w:tcPr>
          <w:p w:rsidR="00D679B8" w:rsidRPr="00E118A4" w:rsidRDefault="00D679B8">
            <w:pPr>
              <w:rPr>
                <w:rFonts w:ascii="Times New Roman" w:hAnsi="Times New Roman" w:cs="Times New Roman"/>
                <w:sz w:val="24"/>
                <w:szCs w:val="24"/>
              </w:rPr>
            </w:pPr>
          </w:p>
        </w:tc>
      </w:tr>
      <w:tr w:rsidR="00E118A4" w:rsidRPr="00E118A4" w:rsidTr="009E1F71">
        <w:tc>
          <w:tcPr>
            <w:tcW w:w="3116" w:type="dxa"/>
          </w:tcPr>
          <w:p w:rsidR="00925BC9" w:rsidRPr="00E118A4" w:rsidRDefault="00925BC9" w:rsidP="00D679B8">
            <w:pPr>
              <w:jc w:val="center"/>
              <w:rPr>
                <w:rFonts w:ascii="Times New Roman" w:hAnsi="Times New Roman" w:cs="Times New Roman"/>
                <w:sz w:val="24"/>
                <w:szCs w:val="24"/>
              </w:rPr>
            </w:pPr>
            <w:r w:rsidRPr="00E118A4">
              <w:rPr>
                <w:rFonts w:ascii="Times New Roman" w:hAnsi="Times New Roman" w:cs="Times New Roman"/>
                <w:sz w:val="24"/>
                <w:szCs w:val="24"/>
              </w:rPr>
              <w:t>Dissatisfied</w:t>
            </w:r>
          </w:p>
        </w:tc>
        <w:tc>
          <w:tcPr>
            <w:tcW w:w="1558" w:type="dxa"/>
          </w:tcPr>
          <w:p w:rsidR="00925BC9" w:rsidRPr="00E118A4" w:rsidRDefault="00925BC9">
            <w:pPr>
              <w:rPr>
                <w:rFonts w:ascii="Times New Roman" w:hAnsi="Times New Roman" w:cs="Times New Roman"/>
                <w:sz w:val="24"/>
                <w:szCs w:val="24"/>
              </w:rPr>
            </w:pPr>
          </w:p>
        </w:tc>
        <w:tc>
          <w:tcPr>
            <w:tcW w:w="1559" w:type="dxa"/>
          </w:tcPr>
          <w:p w:rsidR="00925BC9" w:rsidRPr="00E118A4" w:rsidRDefault="00925BC9">
            <w:pPr>
              <w:rPr>
                <w:rFonts w:ascii="Times New Roman" w:hAnsi="Times New Roman" w:cs="Times New Roman"/>
                <w:sz w:val="24"/>
                <w:szCs w:val="24"/>
              </w:rPr>
            </w:pPr>
          </w:p>
        </w:tc>
        <w:tc>
          <w:tcPr>
            <w:tcW w:w="1558" w:type="dxa"/>
          </w:tcPr>
          <w:p w:rsidR="00925BC9" w:rsidRPr="00E118A4" w:rsidRDefault="00925BC9">
            <w:pPr>
              <w:rPr>
                <w:rFonts w:ascii="Times New Roman" w:hAnsi="Times New Roman" w:cs="Times New Roman"/>
                <w:sz w:val="24"/>
                <w:szCs w:val="24"/>
              </w:rPr>
            </w:pPr>
          </w:p>
        </w:tc>
        <w:tc>
          <w:tcPr>
            <w:tcW w:w="1559" w:type="dxa"/>
          </w:tcPr>
          <w:p w:rsidR="00925BC9" w:rsidRPr="00E118A4" w:rsidRDefault="00925BC9">
            <w:pPr>
              <w:rPr>
                <w:rFonts w:ascii="Times New Roman" w:hAnsi="Times New Roman" w:cs="Times New Roman"/>
                <w:sz w:val="24"/>
                <w:szCs w:val="24"/>
              </w:rPr>
            </w:pPr>
          </w:p>
        </w:tc>
      </w:tr>
      <w:tr w:rsidR="00E118A4" w:rsidRPr="00E118A4" w:rsidTr="00FE117F">
        <w:tc>
          <w:tcPr>
            <w:tcW w:w="3116" w:type="dxa"/>
          </w:tcPr>
          <w:p w:rsidR="00925BC9" w:rsidRPr="00E118A4" w:rsidRDefault="00925BC9" w:rsidP="00D679B8">
            <w:pPr>
              <w:jc w:val="center"/>
              <w:rPr>
                <w:rFonts w:ascii="Times New Roman" w:hAnsi="Times New Roman" w:cs="Times New Roman"/>
                <w:sz w:val="24"/>
                <w:szCs w:val="24"/>
              </w:rPr>
            </w:pPr>
            <w:r w:rsidRPr="00E118A4">
              <w:rPr>
                <w:rFonts w:ascii="Times New Roman" w:hAnsi="Times New Roman" w:cs="Times New Roman"/>
                <w:sz w:val="24"/>
                <w:szCs w:val="24"/>
              </w:rPr>
              <w:t>Satisfied</w:t>
            </w:r>
          </w:p>
        </w:tc>
        <w:tc>
          <w:tcPr>
            <w:tcW w:w="1558" w:type="dxa"/>
          </w:tcPr>
          <w:p w:rsidR="00925BC9" w:rsidRPr="00E118A4" w:rsidRDefault="00925BC9">
            <w:pPr>
              <w:rPr>
                <w:rFonts w:ascii="Times New Roman" w:hAnsi="Times New Roman" w:cs="Times New Roman"/>
                <w:sz w:val="24"/>
                <w:szCs w:val="24"/>
              </w:rPr>
            </w:pPr>
          </w:p>
        </w:tc>
        <w:tc>
          <w:tcPr>
            <w:tcW w:w="1559" w:type="dxa"/>
          </w:tcPr>
          <w:p w:rsidR="00925BC9" w:rsidRPr="00E118A4" w:rsidRDefault="00925BC9">
            <w:pPr>
              <w:rPr>
                <w:rFonts w:ascii="Times New Roman" w:hAnsi="Times New Roman" w:cs="Times New Roman"/>
                <w:sz w:val="24"/>
                <w:szCs w:val="24"/>
              </w:rPr>
            </w:pPr>
          </w:p>
        </w:tc>
        <w:tc>
          <w:tcPr>
            <w:tcW w:w="1558" w:type="dxa"/>
          </w:tcPr>
          <w:p w:rsidR="00925BC9" w:rsidRPr="00E118A4" w:rsidRDefault="00925BC9">
            <w:pPr>
              <w:rPr>
                <w:rFonts w:ascii="Times New Roman" w:hAnsi="Times New Roman" w:cs="Times New Roman"/>
                <w:sz w:val="24"/>
                <w:szCs w:val="24"/>
              </w:rPr>
            </w:pPr>
          </w:p>
        </w:tc>
        <w:tc>
          <w:tcPr>
            <w:tcW w:w="1559" w:type="dxa"/>
          </w:tcPr>
          <w:p w:rsidR="00925BC9" w:rsidRPr="00E118A4" w:rsidRDefault="00925BC9">
            <w:pPr>
              <w:rPr>
                <w:rFonts w:ascii="Times New Roman" w:hAnsi="Times New Roman" w:cs="Times New Roman"/>
                <w:sz w:val="24"/>
                <w:szCs w:val="24"/>
              </w:rPr>
            </w:pPr>
          </w:p>
        </w:tc>
      </w:tr>
      <w:tr w:rsidR="00E118A4" w:rsidRPr="00E118A4" w:rsidTr="00453A24">
        <w:tc>
          <w:tcPr>
            <w:tcW w:w="3116" w:type="dxa"/>
          </w:tcPr>
          <w:p w:rsidR="00925BC9" w:rsidRPr="00E118A4" w:rsidRDefault="00925BC9" w:rsidP="00D679B8">
            <w:pPr>
              <w:jc w:val="center"/>
              <w:rPr>
                <w:rFonts w:ascii="Times New Roman" w:hAnsi="Times New Roman" w:cs="Times New Roman"/>
                <w:sz w:val="24"/>
                <w:szCs w:val="24"/>
              </w:rPr>
            </w:pPr>
            <w:r w:rsidRPr="00E118A4">
              <w:rPr>
                <w:rFonts w:ascii="Times New Roman" w:hAnsi="Times New Roman" w:cs="Times New Roman"/>
                <w:sz w:val="24"/>
                <w:szCs w:val="24"/>
              </w:rPr>
              <w:t>Very Satisfied</w:t>
            </w:r>
          </w:p>
        </w:tc>
        <w:tc>
          <w:tcPr>
            <w:tcW w:w="1558" w:type="dxa"/>
          </w:tcPr>
          <w:p w:rsidR="00925BC9" w:rsidRPr="00E118A4" w:rsidRDefault="00925BC9" w:rsidP="00925BC9">
            <w:pPr>
              <w:jc w:val="center"/>
              <w:rPr>
                <w:rFonts w:ascii="Times New Roman" w:hAnsi="Times New Roman" w:cs="Times New Roman"/>
                <w:sz w:val="24"/>
                <w:szCs w:val="24"/>
              </w:rPr>
            </w:pPr>
            <w:r w:rsidRPr="00E118A4">
              <w:rPr>
                <w:rFonts w:ascii="Times New Roman" w:hAnsi="Times New Roman" w:cs="Times New Roman"/>
                <w:sz w:val="24"/>
                <w:szCs w:val="24"/>
              </w:rPr>
              <w:t>7</w:t>
            </w:r>
          </w:p>
        </w:tc>
        <w:tc>
          <w:tcPr>
            <w:tcW w:w="1559" w:type="dxa"/>
          </w:tcPr>
          <w:p w:rsidR="00925BC9" w:rsidRPr="00E118A4" w:rsidRDefault="00925BC9" w:rsidP="00925BC9">
            <w:pPr>
              <w:jc w:val="center"/>
              <w:rPr>
                <w:rFonts w:ascii="Times New Roman" w:hAnsi="Times New Roman" w:cs="Times New Roman"/>
                <w:sz w:val="24"/>
                <w:szCs w:val="24"/>
              </w:rPr>
            </w:pPr>
            <w:r w:rsidRPr="00E118A4">
              <w:rPr>
                <w:rFonts w:ascii="Times New Roman" w:hAnsi="Times New Roman" w:cs="Times New Roman"/>
                <w:sz w:val="24"/>
                <w:szCs w:val="24"/>
              </w:rPr>
              <w:t>100%</w:t>
            </w:r>
          </w:p>
        </w:tc>
        <w:tc>
          <w:tcPr>
            <w:tcW w:w="1558" w:type="dxa"/>
          </w:tcPr>
          <w:p w:rsidR="00925BC9" w:rsidRPr="00E118A4" w:rsidRDefault="00C77D58" w:rsidP="00925BC9">
            <w:pPr>
              <w:jc w:val="center"/>
              <w:rPr>
                <w:rFonts w:ascii="Times New Roman" w:hAnsi="Times New Roman" w:cs="Times New Roman"/>
                <w:sz w:val="24"/>
                <w:szCs w:val="24"/>
              </w:rPr>
            </w:pPr>
            <w:r w:rsidRPr="00E118A4">
              <w:rPr>
                <w:rFonts w:ascii="Times New Roman" w:hAnsi="Times New Roman" w:cs="Times New Roman"/>
                <w:sz w:val="24"/>
                <w:szCs w:val="24"/>
              </w:rPr>
              <w:t>5</w:t>
            </w:r>
          </w:p>
        </w:tc>
        <w:tc>
          <w:tcPr>
            <w:tcW w:w="1559" w:type="dxa"/>
          </w:tcPr>
          <w:p w:rsidR="00925BC9" w:rsidRPr="00E118A4" w:rsidRDefault="00925BC9" w:rsidP="00925BC9">
            <w:pPr>
              <w:jc w:val="center"/>
              <w:rPr>
                <w:rFonts w:ascii="Times New Roman" w:hAnsi="Times New Roman" w:cs="Times New Roman"/>
                <w:sz w:val="24"/>
                <w:szCs w:val="24"/>
              </w:rPr>
            </w:pPr>
            <w:r w:rsidRPr="00E118A4">
              <w:rPr>
                <w:rFonts w:ascii="Times New Roman" w:hAnsi="Times New Roman" w:cs="Times New Roman"/>
                <w:sz w:val="24"/>
                <w:szCs w:val="24"/>
              </w:rPr>
              <w:t>100%</w:t>
            </w:r>
          </w:p>
        </w:tc>
      </w:tr>
    </w:tbl>
    <w:p w:rsidR="00E118A4" w:rsidRPr="00E118A4" w:rsidRDefault="00E118A4">
      <w:pPr>
        <w:rPr>
          <w:rFonts w:ascii="Times New Roman" w:hAnsi="Times New Roman" w:cs="Times New Roman"/>
          <w:b/>
          <w:sz w:val="24"/>
          <w:szCs w:val="24"/>
        </w:rPr>
      </w:pPr>
    </w:p>
    <w:p w:rsidR="00925BC9" w:rsidRPr="00E118A4" w:rsidRDefault="007F69C6">
      <w:pPr>
        <w:rPr>
          <w:rFonts w:ascii="Times New Roman" w:hAnsi="Times New Roman" w:cs="Times New Roman"/>
          <w:b/>
          <w:color w:val="FF0000"/>
          <w:sz w:val="24"/>
          <w:szCs w:val="24"/>
          <w:shd w:val="clear" w:color="auto" w:fill="FFFFFF"/>
        </w:rPr>
      </w:pPr>
      <w:r w:rsidRPr="00E118A4">
        <w:rPr>
          <w:rFonts w:ascii="Times New Roman" w:hAnsi="Times New Roman" w:cs="Times New Roman"/>
          <w:b/>
          <w:color w:val="FF0000"/>
          <w:sz w:val="24"/>
          <w:szCs w:val="24"/>
        </w:rPr>
        <w:t xml:space="preserve">Measure 5: </w:t>
      </w:r>
      <w:r w:rsidR="00925BC9" w:rsidRPr="00E118A4">
        <w:rPr>
          <w:rStyle w:val="Strong"/>
          <w:rFonts w:ascii="Times New Roman" w:hAnsi="Times New Roman" w:cs="Times New Roman"/>
          <w:color w:val="FF0000"/>
          <w:sz w:val="24"/>
          <w:szCs w:val="24"/>
          <w:shd w:val="clear" w:color="auto" w:fill="FFFFFF"/>
        </w:rPr>
        <w:t>Graduation Rates (Initial &amp; Advanced)</w:t>
      </w:r>
      <w:r w:rsidR="00925BC9" w:rsidRPr="00E118A4">
        <w:rPr>
          <w:rFonts w:ascii="Times New Roman" w:hAnsi="Times New Roman" w:cs="Times New Roman"/>
          <w:b/>
          <w:color w:val="FF0000"/>
          <w:sz w:val="24"/>
          <w:szCs w:val="24"/>
          <w:shd w:val="clear" w:color="auto" w:fill="FFFFFF"/>
        </w:rPr>
        <w:t> </w:t>
      </w:r>
    </w:p>
    <w:p w:rsidR="00925BC9" w:rsidRPr="00E118A4" w:rsidRDefault="00925BC9" w:rsidP="00185E03">
      <w:pPr>
        <w:rPr>
          <w:rFonts w:ascii="Times New Roman" w:hAnsi="Times New Roman" w:cs="Times New Roman"/>
          <w:sz w:val="24"/>
          <w:szCs w:val="24"/>
          <w:shd w:val="clear" w:color="auto" w:fill="FFFFFF"/>
        </w:rPr>
      </w:pPr>
      <w:r w:rsidRPr="00E118A4">
        <w:rPr>
          <w:rFonts w:ascii="Times New Roman" w:hAnsi="Times New Roman" w:cs="Times New Roman"/>
          <w:sz w:val="24"/>
          <w:szCs w:val="24"/>
          <w:shd w:val="clear" w:color="auto" w:fill="FFFFFF"/>
        </w:rPr>
        <w:t xml:space="preserve">Graduation rates </w:t>
      </w:r>
      <w:proofErr w:type="gramStart"/>
      <w:r w:rsidRPr="00E118A4">
        <w:rPr>
          <w:rFonts w:ascii="Times New Roman" w:hAnsi="Times New Roman" w:cs="Times New Roman"/>
          <w:sz w:val="24"/>
          <w:szCs w:val="24"/>
          <w:shd w:val="clear" w:color="auto" w:fill="FFFFFF"/>
        </w:rPr>
        <w:t>have been defined</w:t>
      </w:r>
      <w:proofErr w:type="gramEnd"/>
      <w:r w:rsidRPr="00E118A4">
        <w:rPr>
          <w:rFonts w:ascii="Times New Roman" w:hAnsi="Times New Roman" w:cs="Times New Roman"/>
          <w:sz w:val="24"/>
          <w:szCs w:val="24"/>
          <w:shd w:val="clear" w:color="auto" w:fill="FFFFFF"/>
        </w:rPr>
        <w:t xml:space="preserve"> as the program completer's ability to complete their degree program. </w:t>
      </w:r>
      <w:r w:rsidR="00185E03" w:rsidRPr="00E118A4">
        <w:rPr>
          <w:rFonts w:ascii="Times New Roman" w:hAnsi="Times New Roman" w:cs="Times New Roman"/>
          <w:sz w:val="24"/>
          <w:szCs w:val="24"/>
          <w:shd w:val="clear" w:color="auto" w:fill="FFFFFF"/>
        </w:rPr>
        <w:t>Below are Graduation Rates for Initial and Advanced students.</w:t>
      </w:r>
    </w:p>
    <w:tbl>
      <w:tblPr>
        <w:tblStyle w:val="TableGrid"/>
        <w:tblW w:w="0" w:type="auto"/>
        <w:tblLook w:val="04A0" w:firstRow="1" w:lastRow="0" w:firstColumn="1" w:lastColumn="0" w:noHBand="0" w:noVBand="1"/>
      </w:tblPr>
      <w:tblGrid>
        <w:gridCol w:w="2337"/>
        <w:gridCol w:w="2337"/>
        <w:gridCol w:w="2338"/>
        <w:gridCol w:w="2338"/>
      </w:tblGrid>
      <w:tr w:rsidR="00E118A4" w:rsidRPr="00E118A4" w:rsidTr="00925BC9">
        <w:tc>
          <w:tcPr>
            <w:tcW w:w="2337" w:type="dxa"/>
          </w:tcPr>
          <w:p w:rsidR="00925BC9" w:rsidRPr="00E118A4" w:rsidRDefault="00925BC9" w:rsidP="00925BC9">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2018-19</w:t>
            </w:r>
          </w:p>
        </w:tc>
        <w:tc>
          <w:tcPr>
            <w:tcW w:w="2337" w:type="dxa"/>
          </w:tcPr>
          <w:p w:rsidR="00925BC9" w:rsidRPr="00E118A4" w:rsidRDefault="00925BC9" w:rsidP="00925BC9">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Accepted &amp; Enrolled</w:t>
            </w:r>
          </w:p>
        </w:tc>
        <w:tc>
          <w:tcPr>
            <w:tcW w:w="2338" w:type="dxa"/>
          </w:tcPr>
          <w:p w:rsidR="00925BC9" w:rsidRPr="00E118A4" w:rsidRDefault="00925BC9" w:rsidP="00925BC9">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Graduated</w:t>
            </w:r>
          </w:p>
        </w:tc>
        <w:tc>
          <w:tcPr>
            <w:tcW w:w="2338" w:type="dxa"/>
          </w:tcPr>
          <w:p w:rsidR="00925BC9" w:rsidRPr="00E118A4" w:rsidRDefault="00925BC9" w:rsidP="00925BC9">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w:t>
            </w:r>
          </w:p>
        </w:tc>
      </w:tr>
      <w:tr w:rsidR="00E118A4" w:rsidRPr="00E118A4" w:rsidTr="00925BC9">
        <w:tc>
          <w:tcPr>
            <w:tcW w:w="2337" w:type="dxa"/>
          </w:tcPr>
          <w:p w:rsidR="00925BC9" w:rsidRPr="00E118A4" w:rsidRDefault="00925BC9" w:rsidP="00925BC9">
            <w:pPr>
              <w:spacing w:line="360" w:lineRule="auto"/>
              <w:rPr>
                <w:rFonts w:ascii="Times New Roman" w:hAnsi="Times New Roman" w:cs="Times New Roman"/>
                <w:sz w:val="24"/>
                <w:szCs w:val="24"/>
              </w:rPr>
            </w:pPr>
            <w:r w:rsidRPr="00E118A4">
              <w:rPr>
                <w:rFonts w:ascii="Times New Roman" w:hAnsi="Times New Roman" w:cs="Times New Roman"/>
                <w:sz w:val="24"/>
                <w:szCs w:val="24"/>
              </w:rPr>
              <w:t xml:space="preserve">Initial </w:t>
            </w:r>
          </w:p>
        </w:tc>
        <w:tc>
          <w:tcPr>
            <w:tcW w:w="2337" w:type="dxa"/>
          </w:tcPr>
          <w:p w:rsidR="00925BC9" w:rsidRPr="00E118A4" w:rsidRDefault="00C77D58" w:rsidP="00C77D58">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18</w:t>
            </w:r>
          </w:p>
        </w:tc>
        <w:tc>
          <w:tcPr>
            <w:tcW w:w="2338" w:type="dxa"/>
          </w:tcPr>
          <w:p w:rsidR="00925BC9" w:rsidRPr="00E118A4" w:rsidRDefault="00C77D58" w:rsidP="00C77D58">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7</w:t>
            </w:r>
          </w:p>
        </w:tc>
        <w:tc>
          <w:tcPr>
            <w:tcW w:w="2338" w:type="dxa"/>
          </w:tcPr>
          <w:p w:rsidR="00925BC9" w:rsidRPr="00E118A4" w:rsidRDefault="007A3D52" w:rsidP="00C77D58">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38.9%</w:t>
            </w:r>
          </w:p>
        </w:tc>
      </w:tr>
      <w:tr w:rsidR="00E118A4" w:rsidRPr="00E118A4" w:rsidTr="00925BC9">
        <w:tc>
          <w:tcPr>
            <w:tcW w:w="2337" w:type="dxa"/>
          </w:tcPr>
          <w:p w:rsidR="00925BC9" w:rsidRPr="00E118A4" w:rsidRDefault="00925BC9" w:rsidP="00925BC9">
            <w:pPr>
              <w:spacing w:line="360" w:lineRule="auto"/>
              <w:rPr>
                <w:rFonts w:ascii="Times New Roman" w:hAnsi="Times New Roman" w:cs="Times New Roman"/>
                <w:sz w:val="24"/>
                <w:szCs w:val="24"/>
              </w:rPr>
            </w:pPr>
            <w:r w:rsidRPr="00E118A4">
              <w:rPr>
                <w:rFonts w:ascii="Times New Roman" w:hAnsi="Times New Roman" w:cs="Times New Roman"/>
                <w:sz w:val="24"/>
                <w:szCs w:val="24"/>
              </w:rPr>
              <w:t>Advanced</w:t>
            </w:r>
          </w:p>
        </w:tc>
        <w:tc>
          <w:tcPr>
            <w:tcW w:w="2337" w:type="dxa"/>
          </w:tcPr>
          <w:p w:rsidR="00925BC9" w:rsidRPr="00E118A4" w:rsidRDefault="00C77D58" w:rsidP="00C77D58">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9</w:t>
            </w:r>
          </w:p>
        </w:tc>
        <w:tc>
          <w:tcPr>
            <w:tcW w:w="2338" w:type="dxa"/>
          </w:tcPr>
          <w:p w:rsidR="00925BC9" w:rsidRPr="00E118A4" w:rsidRDefault="00C77D58" w:rsidP="00C77D58">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5</w:t>
            </w:r>
          </w:p>
        </w:tc>
        <w:tc>
          <w:tcPr>
            <w:tcW w:w="2338" w:type="dxa"/>
          </w:tcPr>
          <w:p w:rsidR="00925BC9" w:rsidRPr="00E118A4" w:rsidRDefault="007A3D52" w:rsidP="00C77D58">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55.6%</w:t>
            </w:r>
          </w:p>
        </w:tc>
      </w:tr>
    </w:tbl>
    <w:p w:rsidR="00957E08" w:rsidRDefault="00957E08" w:rsidP="00185E03">
      <w:pPr>
        <w:pStyle w:val="NoSpacing"/>
        <w:rPr>
          <w:rFonts w:ascii="Times New Roman" w:hAnsi="Times New Roman" w:cs="Times New Roman"/>
          <w:sz w:val="24"/>
          <w:szCs w:val="24"/>
        </w:rPr>
      </w:pPr>
    </w:p>
    <w:p w:rsidR="00185E03" w:rsidRPr="00E118A4" w:rsidRDefault="00185E03" w:rsidP="00185E03">
      <w:pPr>
        <w:pStyle w:val="NoSpacing"/>
        <w:rPr>
          <w:rFonts w:ascii="Times New Roman" w:hAnsi="Times New Roman" w:cs="Times New Roman"/>
          <w:sz w:val="24"/>
          <w:szCs w:val="24"/>
        </w:rPr>
      </w:pPr>
      <w:r w:rsidRPr="00E118A4">
        <w:rPr>
          <w:rFonts w:ascii="Times New Roman" w:hAnsi="Times New Roman" w:cs="Times New Roman"/>
          <w:sz w:val="24"/>
          <w:szCs w:val="24"/>
        </w:rPr>
        <w:t>Below is a link to our Title II re</w:t>
      </w:r>
      <w:r w:rsidR="00707A2D" w:rsidRPr="00E118A4">
        <w:rPr>
          <w:rFonts w:ascii="Times New Roman" w:hAnsi="Times New Roman" w:cs="Times New Roman"/>
          <w:sz w:val="24"/>
          <w:szCs w:val="24"/>
        </w:rPr>
        <w:t xml:space="preserve">ports for 2018-19 academic year. </w:t>
      </w:r>
    </w:p>
    <w:p w:rsidR="00185E03" w:rsidRPr="00E118A4" w:rsidRDefault="00185E03" w:rsidP="00185E03">
      <w:pPr>
        <w:pStyle w:val="NoSpacing"/>
        <w:rPr>
          <w:rFonts w:ascii="Times New Roman" w:hAnsi="Times New Roman" w:cs="Times New Roman"/>
          <w:sz w:val="24"/>
          <w:szCs w:val="24"/>
        </w:rPr>
      </w:pPr>
    </w:p>
    <w:p w:rsidR="00185E03" w:rsidRPr="00E118A4" w:rsidRDefault="00185E03" w:rsidP="00185E03">
      <w:pPr>
        <w:pStyle w:val="NoSpacing"/>
        <w:numPr>
          <w:ilvl w:val="0"/>
          <w:numId w:val="3"/>
        </w:numPr>
        <w:rPr>
          <w:rFonts w:ascii="Times New Roman" w:hAnsi="Times New Roman" w:cs="Times New Roman"/>
          <w:sz w:val="24"/>
          <w:szCs w:val="24"/>
        </w:rPr>
      </w:pPr>
      <w:r w:rsidRPr="00E118A4">
        <w:rPr>
          <w:rFonts w:ascii="Times New Roman" w:hAnsi="Times New Roman" w:cs="Times New Roman"/>
          <w:sz w:val="24"/>
          <w:szCs w:val="24"/>
        </w:rPr>
        <w:t>Title II Report</w:t>
      </w:r>
    </w:p>
    <w:p w:rsidR="00C77D58" w:rsidRPr="00E118A4" w:rsidRDefault="00200A65">
      <w:pPr>
        <w:rPr>
          <w:rFonts w:ascii="Times New Roman" w:hAnsi="Times New Roman" w:cs="Times New Roman"/>
          <w:sz w:val="24"/>
          <w:szCs w:val="24"/>
        </w:rPr>
      </w:pPr>
      <w:hyperlink r:id="rId6" w:history="1">
        <w:r w:rsidR="00707A2D" w:rsidRPr="00E118A4">
          <w:rPr>
            <w:rStyle w:val="Hyperlink"/>
            <w:color w:val="auto"/>
          </w:rPr>
          <w:t>https://title2.ed.gov/Secured/DataCollection/Institution/Institution.aspx?pid=dfe87b5b-8908-47bf-9c13-8db2c5eccac0&amp;c=ReportHome</w:t>
        </w:r>
      </w:hyperlink>
    </w:p>
    <w:p w:rsidR="00E118A4" w:rsidRPr="00E118A4" w:rsidRDefault="00E118A4" w:rsidP="00185E03">
      <w:pPr>
        <w:pStyle w:val="NoSpacing"/>
        <w:rPr>
          <w:rFonts w:ascii="Times New Roman" w:hAnsi="Times New Roman" w:cs="Times New Roman"/>
          <w:sz w:val="24"/>
          <w:szCs w:val="24"/>
        </w:rPr>
      </w:pPr>
    </w:p>
    <w:p w:rsidR="00C77D58" w:rsidRPr="00E118A4" w:rsidRDefault="00C77D58" w:rsidP="00E118A4">
      <w:pPr>
        <w:pStyle w:val="NoSpacing"/>
        <w:rPr>
          <w:rFonts w:ascii="Times New Roman" w:hAnsi="Times New Roman" w:cs="Times New Roman"/>
          <w:b/>
          <w:color w:val="FF0000"/>
          <w:sz w:val="24"/>
          <w:szCs w:val="24"/>
        </w:rPr>
      </w:pPr>
      <w:r w:rsidRPr="00E118A4">
        <w:rPr>
          <w:rFonts w:ascii="Times New Roman" w:hAnsi="Times New Roman" w:cs="Times New Roman"/>
          <w:b/>
          <w:color w:val="FF0000"/>
          <w:sz w:val="24"/>
          <w:szCs w:val="24"/>
        </w:rPr>
        <w:t>Measure 6</w:t>
      </w:r>
      <w:r w:rsidR="007F69C6" w:rsidRPr="00E118A4">
        <w:rPr>
          <w:rFonts w:ascii="Times New Roman" w:hAnsi="Times New Roman" w:cs="Times New Roman"/>
          <w:b/>
          <w:color w:val="FF0000"/>
          <w:sz w:val="24"/>
          <w:szCs w:val="24"/>
        </w:rPr>
        <w:t xml:space="preserve">: </w:t>
      </w:r>
      <w:r w:rsidR="00185E03" w:rsidRPr="00E118A4">
        <w:rPr>
          <w:rFonts w:ascii="Times New Roman" w:hAnsi="Times New Roman" w:cs="Times New Roman"/>
          <w:b/>
          <w:color w:val="FF0000"/>
          <w:sz w:val="24"/>
          <w:szCs w:val="24"/>
        </w:rPr>
        <w:t>Ability of Completers to Meet Licensing Requirements and Additional State Requirements</w:t>
      </w:r>
    </w:p>
    <w:p w:rsidR="00E118A4" w:rsidRPr="00E118A4" w:rsidRDefault="00E118A4" w:rsidP="00E118A4">
      <w:pPr>
        <w:pStyle w:val="NoSpacing"/>
        <w:rPr>
          <w:rFonts w:ascii="Times New Roman" w:hAnsi="Times New Roman" w:cs="Times New Roman"/>
          <w:sz w:val="24"/>
          <w:szCs w:val="24"/>
        </w:rPr>
      </w:pPr>
    </w:p>
    <w:p w:rsidR="00C77D58" w:rsidRPr="00E118A4" w:rsidRDefault="00C77D58">
      <w:pPr>
        <w:rPr>
          <w:rFonts w:ascii="Times New Roman" w:hAnsi="Times New Roman" w:cs="Times New Roman"/>
          <w:sz w:val="24"/>
          <w:szCs w:val="24"/>
          <w:shd w:val="clear" w:color="auto" w:fill="FFFFFF"/>
        </w:rPr>
      </w:pPr>
      <w:r w:rsidRPr="00E118A4">
        <w:rPr>
          <w:rFonts w:ascii="Times New Roman" w:hAnsi="Times New Roman" w:cs="Times New Roman"/>
          <w:sz w:val="24"/>
          <w:szCs w:val="24"/>
          <w:shd w:val="clear" w:color="auto" w:fill="FFFFFF"/>
        </w:rPr>
        <w:t>In order for a candidate to complete any program supported by the unit they must meet all licensing requiremen</w:t>
      </w:r>
      <w:r w:rsidR="007A3D52" w:rsidRPr="00E118A4">
        <w:rPr>
          <w:rFonts w:ascii="Times New Roman" w:hAnsi="Times New Roman" w:cs="Times New Roman"/>
          <w:sz w:val="24"/>
          <w:szCs w:val="24"/>
          <w:shd w:val="clear" w:color="auto" w:fill="FFFFFF"/>
        </w:rPr>
        <w:t>ts outlined by the Louisiana</w:t>
      </w:r>
      <w:r w:rsidRPr="00E118A4">
        <w:rPr>
          <w:rFonts w:ascii="Times New Roman" w:hAnsi="Times New Roman" w:cs="Times New Roman"/>
          <w:sz w:val="24"/>
          <w:szCs w:val="24"/>
          <w:shd w:val="clear" w:color="auto" w:fill="FFFFFF"/>
        </w:rPr>
        <w:t xml:space="preserve"> Department of Education. As a result, 100% of </w:t>
      </w:r>
      <w:r w:rsidRPr="00E118A4">
        <w:rPr>
          <w:rFonts w:ascii="Times New Roman" w:hAnsi="Times New Roman" w:cs="Times New Roman"/>
          <w:sz w:val="24"/>
          <w:szCs w:val="24"/>
          <w:shd w:val="clear" w:color="auto" w:fill="FFFFFF"/>
        </w:rPr>
        <w:lastRenderedPageBreak/>
        <w:t>the unit's completers have the ability to meet licensing requirements. The following chart outlines the unit c</w:t>
      </w:r>
      <w:r w:rsidR="007A3D52" w:rsidRPr="00E118A4">
        <w:rPr>
          <w:rFonts w:ascii="Times New Roman" w:hAnsi="Times New Roman" w:cs="Times New Roman"/>
          <w:sz w:val="24"/>
          <w:szCs w:val="24"/>
          <w:shd w:val="clear" w:color="auto" w:fill="FFFFFF"/>
        </w:rPr>
        <w:t>ompleter numbers for the 2018-19</w:t>
      </w:r>
      <w:r w:rsidRPr="00E118A4">
        <w:rPr>
          <w:rFonts w:ascii="Times New Roman" w:hAnsi="Times New Roman" w:cs="Times New Roman"/>
          <w:sz w:val="24"/>
          <w:szCs w:val="24"/>
          <w:shd w:val="clear" w:color="auto" w:fill="FFFFFF"/>
        </w:rPr>
        <w:t xml:space="preserve"> academic year.</w:t>
      </w:r>
    </w:p>
    <w:p w:rsidR="007A3D52" w:rsidRPr="00E118A4" w:rsidRDefault="007A3D52">
      <w:pPr>
        <w:rPr>
          <w:rFonts w:ascii="Times New Roman" w:hAnsi="Times New Roman" w:cs="Times New Roman"/>
          <w:sz w:val="24"/>
          <w:szCs w:val="24"/>
          <w:shd w:val="clear" w:color="auto" w:fill="FFFFFF"/>
        </w:rPr>
      </w:pPr>
    </w:p>
    <w:tbl>
      <w:tblPr>
        <w:tblStyle w:val="TableGrid"/>
        <w:tblW w:w="0" w:type="auto"/>
        <w:tblLook w:val="04A0" w:firstRow="1" w:lastRow="0" w:firstColumn="1" w:lastColumn="0" w:noHBand="0" w:noVBand="1"/>
      </w:tblPr>
      <w:tblGrid>
        <w:gridCol w:w="1435"/>
        <w:gridCol w:w="4798"/>
        <w:gridCol w:w="3117"/>
      </w:tblGrid>
      <w:tr w:rsidR="00E118A4" w:rsidRPr="00E118A4" w:rsidTr="007A3D52">
        <w:tc>
          <w:tcPr>
            <w:tcW w:w="1435" w:type="dxa"/>
          </w:tcPr>
          <w:p w:rsidR="007A3D52" w:rsidRPr="00E118A4" w:rsidRDefault="007A3D52" w:rsidP="007A3D52">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2018-19</w:t>
            </w:r>
          </w:p>
        </w:tc>
        <w:tc>
          <w:tcPr>
            <w:tcW w:w="4798" w:type="dxa"/>
          </w:tcPr>
          <w:p w:rsidR="007A3D52" w:rsidRPr="00E118A4" w:rsidRDefault="007A3D52" w:rsidP="007A3D52">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Candidates Recommended for Certification</w:t>
            </w:r>
          </w:p>
        </w:tc>
        <w:tc>
          <w:tcPr>
            <w:tcW w:w="3117" w:type="dxa"/>
          </w:tcPr>
          <w:p w:rsidR="007A3D52" w:rsidRPr="00E118A4" w:rsidRDefault="007A3D52" w:rsidP="007A3D52">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Program Completers</w:t>
            </w:r>
          </w:p>
        </w:tc>
      </w:tr>
      <w:tr w:rsidR="00E118A4" w:rsidRPr="00E118A4" w:rsidTr="007A3D52">
        <w:tc>
          <w:tcPr>
            <w:tcW w:w="1435" w:type="dxa"/>
          </w:tcPr>
          <w:p w:rsidR="007A3D52" w:rsidRPr="00E118A4" w:rsidRDefault="007A3D52" w:rsidP="007A3D52">
            <w:pPr>
              <w:spacing w:line="360" w:lineRule="auto"/>
              <w:rPr>
                <w:rFonts w:ascii="Times New Roman" w:hAnsi="Times New Roman" w:cs="Times New Roman"/>
                <w:sz w:val="24"/>
                <w:szCs w:val="24"/>
              </w:rPr>
            </w:pPr>
            <w:r w:rsidRPr="00E118A4">
              <w:rPr>
                <w:rFonts w:ascii="Times New Roman" w:hAnsi="Times New Roman" w:cs="Times New Roman"/>
                <w:sz w:val="24"/>
                <w:szCs w:val="24"/>
              </w:rPr>
              <w:t>Initial</w:t>
            </w:r>
          </w:p>
        </w:tc>
        <w:tc>
          <w:tcPr>
            <w:tcW w:w="4798" w:type="dxa"/>
          </w:tcPr>
          <w:p w:rsidR="007A3D52" w:rsidRPr="00E118A4" w:rsidRDefault="007A3D52" w:rsidP="007A3D52">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7</w:t>
            </w:r>
          </w:p>
        </w:tc>
        <w:tc>
          <w:tcPr>
            <w:tcW w:w="3117" w:type="dxa"/>
          </w:tcPr>
          <w:p w:rsidR="007A3D52" w:rsidRPr="00E118A4" w:rsidRDefault="007A3D52" w:rsidP="007A3D52">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7</w:t>
            </w:r>
          </w:p>
        </w:tc>
      </w:tr>
      <w:tr w:rsidR="007A3D52" w:rsidRPr="00E118A4" w:rsidTr="007A3D52">
        <w:tc>
          <w:tcPr>
            <w:tcW w:w="1435" w:type="dxa"/>
          </w:tcPr>
          <w:p w:rsidR="007A3D52" w:rsidRPr="00E118A4" w:rsidRDefault="007A3D52" w:rsidP="007A3D52">
            <w:pPr>
              <w:spacing w:line="360" w:lineRule="auto"/>
              <w:rPr>
                <w:rFonts w:ascii="Times New Roman" w:hAnsi="Times New Roman" w:cs="Times New Roman"/>
                <w:sz w:val="24"/>
                <w:szCs w:val="24"/>
              </w:rPr>
            </w:pPr>
            <w:r w:rsidRPr="00E118A4">
              <w:rPr>
                <w:rFonts w:ascii="Times New Roman" w:hAnsi="Times New Roman" w:cs="Times New Roman"/>
                <w:sz w:val="24"/>
                <w:szCs w:val="24"/>
              </w:rPr>
              <w:t>Advanced</w:t>
            </w:r>
          </w:p>
        </w:tc>
        <w:tc>
          <w:tcPr>
            <w:tcW w:w="4798" w:type="dxa"/>
          </w:tcPr>
          <w:p w:rsidR="007A3D52" w:rsidRPr="00E118A4" w:rsidRDefault="007A3D52" w:rsidP="007A3D52">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5</w:t>
            </w:r>
          </w:p>
        </w:tc>
        <w:tc>
          <w:tcPr>
            <w:tcW w:w="3117" w:type="dxa"/>
          </w:tcPr>
          <w:p w:rsidR="007A3D52" w:rsidRPr="00E118A4" w:rsidRDefault="007A3D52" w:rsidP="007A3D52">
            <w:pPr>
              <w:spacing w:line="360" w:lineRule="auto"/>
              <w:jc w:val="center"/>
              <w:rPr>
                <w:rFonts w:ascii="Times New Roman" w:hAnsi="Times New Roman" w:cs="Times New Roman"/>
                <w:sz w:val="24"/>
                <w:szCs w:val="24"/>
              </w:rPr>
            </w:pPr>
            <w:r w:rsidRPr="00E118A4">
              <w:rPr>
                <w:rFonts w:ascii="Times New Roman" w:hAnsi="Times New Roman" w:cs="Times New Roman"/>
                <w:sz w:val="24"/>
                <w:szCs w:val="24"/>
              </w:rPr>
              <w:t>5</w:t>
            </w:r>
          </w:p>
        </w:tc>
      </w:tr>
    </w:tbl>
    <w:p w:rsidR="007A3D52" w:rsidRPr="00E118A4" w:rsidRDefault="007A3D52">
      <w:pPr>
        <w:rPr>
          <w:rFonts w:ascii="Times New Roman" w:hAnsi="Times New Roman" w:cs="Times New Roman"/>
          <w:sz w:val="24"/>
          <w:szCs w:val="24"/>
        </w:rPr>
      </w:pPr>
    </w:p>
    <w:p w:rsidR="00185E03" w:rsidRPr="00E118A4" w:rsidRDefault="00185E03">
      <w:pPr>
        <w:rPr>
          <w:rFonts w:ascii="Times New Roman" w:hAnsi="Times New Roman" w:cs="Times New Roman"/>
          <w:b/>
          <w:color w:val="FF0000"/>
          <w:sz w:val="24"/>
          <w:szCs w:val="24"/>
        </w:rPr>
      </w:pPr>
      <w:r w:rsidRPr="00E118A4">
        <w:rPr>
          <w:rFonts w:ascii="Times New Roman" w:hAnsi="Times New Roman" w:cs="Times New Roman"/>
          <w:b/>
          <w:color w:val="FF0000"/>
          <w:sz w:val="24"/>
          <w:szCs w:val="24"/>
        </w:rPr>
        <w:t>Measure 7</w:t>
      </w:r>
      <w:r w:rsidR="00A94588" w:rsidRPr="00E118A4">
        <w:rPr>
          <w:rFonts w:ascii="Times New Roman" w:hAnsi="Times New Roman" w:cs="Times New Roman"/>
          <w:b/>
          <w:color w:val="FF0000"/>
          <w:sz w:val="24"/>
          <w:szCs w:val="24"/>
        </w:rPr>
        <w:t xml:space="preserve">: </w:t>
      </w:r>
      <w:r w:rsidRPr="00E118A4">
        <w:rPr>
          <w:rFonts w:ascii="Times New Roman" w:hAnsi="Times New Roman" w:cs="Times New Roman"/>
          <w:b/>
          <w:bCs/>
          <w:color w:val="FF0000"/>
          <w:sz w:val="24"/>
          <w:szCs w:val="24"/>
          <w:shd w:val="clear" w:color="auto" w:fill="FFFFFF"/>
        </w:rPr>
        <w:t xml:space="preserve">Ability of Completers to be </w:t>
      </w:r>
      <w:proofErr w:type="gramStart"/>
      <w:r w:rsidRPr="00E118A4">
        <w:rPr>
          <w:rFonts w:ascii="Times New Roman" w:hAnsi="Times New Roman" w:cs="Times New Roman"/>
          <w:b/>
          <w:bCs/>
          <w:color w:val="FF0000"/>
          <w:sz w:val="24"/>
          <w:szCs w:val="24"/>
          <w:shd w:val="clear" w:color="auto" w:fill="FFFFFF"/>
        </w:rPr>
        <w:t>Hired</w:t>
      </w:r>
      <w:proofErr w:type="gramEnd"/>
      <w:r w:rsidRPr="00E118A4">
        <w:rPr>
          <w:rFonts w:ascii="Times New Roman" w:hAnsi="Times New Roman" w:cs="Times New Roman"/>
          <w:b/>
          <w:bCs/>
          <w:color w:val="FF0000"/>
          <w:sz w:val="24"/>
          <w:szCs w:val="24"/>
          <w:shd w:val="clear" w:color="auto" w:fill="FFFFFF"/>
        </w:rPr>
        <w:t xml:space="preserve"> in Education Positions for Which They Have Been Prepared (Initial and Advanced)</w:t>
      </w:r>
    </w:p>
    <w:p w:rsidR="00185E03" w:rsidRPr="00E118A4" w:rsidRDefault="00185E03">
      <w:pPr>
        <w:rPr>
          <w:rFonts w:ascii="Times New Roman" w:hAnsi="Times New Roman" w:cs="Times New Roman"/>
          <w:sz w:val="24"/>
          <w:szCs w:val="24"/>
          <w:shd w:val="clear" w:color="auto" w:fill="FFFFFF"/>
        </w:rPr>
      </w:pPr>
      <w:r w:rsidRPr="00E118A4">
        <w:rPr>
          <w:rFonts w:ascii="Times New Roman" w:hAnsi="Times New Roman" w:cs="Times New Roman"/>
          <w:sz w:val="24"/>
          <w:szCs w:val="24"/>
          <w:shd w:val="clear" w:color="auto" w:fill="FFFFFF"/>
        </w:rPr>
        <w:t>The EPP offers opportunities for candidates to be prepared in the following areas leading to an initial certification. </w:t>
      </w:r>
    </w:p>
    <w:p w:rsidR="007F69C6" w:rsidRPr="00E118A4" w:rsidRDefault="006D4717">
      <w:pPr>
        <w:rPr>
          <w:rFonts w:ascii="Times New Roman" w:hAnsi="Times New Roman" w:cs="Times New Roman"/>
          <w:sz w:val="24"/>
          <w:szCs w:val="24"/>
          <w:shd w:val="clear" w:color="auto" w:fill="FFFFFF"/>
        </w:rPr>
      </w:pPr>
      <w:r w:rsidRPr="00E118A4">
        <w:rPr>
          <w:rFonts w:ascii="Times New Roman" w:hAnsi="Times New Roman" w:cs="Times New Roman"/>
          <w:sz w:val="24"/>
          <w:szCs w:val="24"/>
          <w:shd w:val="clear" w:color="auto" w:fill="FFFFFF"/>
        </w:rPr>
        <w:t>Data is provided indicating the number of students certified in their</w:t>
      </w:r>
      <w:r w:rsidR="007F69C6" w:rsidRPr="00E118A4">
        <w:rPr>
          <w:rFonts w:ascii="Times New Roman" w:hAnsi="Times New Roman" w:cs="Times New Roman"/>
          <w:sz w:val="24"/>
          <w:szCs w:val="24"/>
          <w:shd w:val="clear" w:color="auto" w:fill="FFFFFF"/>
        </w:rPr>
        <w:t xml:space="preserve"> respective certification </w:t>
      </w:r>
      <w:proofErr w:type="gramStart"/>
      <w:r w:rsidR="007F69C6" w:rsidRPr="00E118A4">
        <w:rPr>
          <w:rFonts w:ascii="Times New Roman" w:hAnsi="Times New Roman" w:cs="Times New Roman"/>
          <w:sz w:val="24"/>
          <w:szCs w:val="24"/>
          <w:shd w:val="clear" w:color="auto" w:fill="FFFFFF"/>
        </w:rPr>
        <w:t xml:space="preserve">areas </w:t>
      </w:r>
      <w:r w:rsidRPr="00E118A4">
        <w:rPr>
          <w:rFonts w:ascii="Times New Roman" w:hAnsi="Times New Roman" w:cs="Times New Roman"/>
          <w:sz w:val="24"/>
          <w:szCs w:val="24"/>
          <w:shd w:val="clear" w:color="auto" w:fill="FFFFFF"/>
        </w:rPr>
        <w:t>which enables their ability to be hired in at least two certi</w:t>
      </w:r>
      <w:r w:rsidR="007F69C6" w:rsidRPr="00E118A4">
        <w:rPr>
          <w:rFonts w:ascii="Times New Roman" w:hAnsi="Times New Roman" w:cs="Times New Roman"/>
          <w:sz w:val="24"/>
          <w:szCs w:val="24"/>
          <w:shd w:val="clear" w:color="auto" w:fill="FFFFFF"/>
        </w:rPr>
        <w:t>fication areas (elementary)</w:t>
      </w:r>
      <w:proofErr w:type="gramEnd"/>
      <w:r w:rsidR="007F69C6" w:rsidRPr="00E118A4">
        <w:rPr>
          <w:rFonts w:ascii="Times New Roman" w:hAnsi="Times New Roman" w:cs="Times New Roman"/>
          <w:sz w:val="24"/>
          <w:szCs w:val="24"/>
          <w:shd w:val="clear" w:color="auto" w:fill="FFFFFF"/>
        </w:rPr>
        <w:t xml:space="preserve"> and </w:t>
      </w:r>
      <w:r w:rsidRPr="00E118A4">
        <w:rPr>
          <w:rFonts w:ascii="Times New Roman" w:hAnsi="Times New Roman" w:cs="Times New Roman"/>
          <w:sz w:val="24"/>
          <w:szCs w:val="24"/>
          <w:shd w:val="clear" w:color="auto" w:fill="FFFFFF"/>
        </w:rPr>
        <w:t>secondary for which they have been prepared.  </w:t>
      </w:r>
    </w:p>
    <w:tbl>
      <w:tblPr>
        <w:tblStyle w:val="TableGrid"/>
        <w:tblW w:w="0" w:type="auto"/>
        <w:tblLook w:val="04A0" w:firstRow="1" w:lastRow="0" w:firstColumn="1" w:lastColumn="0" w:noHBand="0" w:noVBand="1"/>
      </w:tblPr>
      <w:tblGrid>
        <w:gridCol w:w="2425"/>
        <w:gridCol w:w="3240"/>
        <w:gridCol w:w="3685"/>
      </w:tblGrid>
      <w:tr w:rsidR="00E118A4" w:rsidRPr="00E118A4" w:rsidTr="006D4717">
        <w:tc>
          <w:tcPr>
            <w:tcW w:w="2425" w:type="dxa"/>
          </w:tcPr>
          <w:p w:rsidR="00185E03" w:rsidRPr="00E118A4" w:rsidRDefault="00185E03">
            <w:pPr>
              <w:rPr>
                <w:rFonts w:ascii="Times New Roman" w:hAnsi="Times New Roman" w:cs="Times New Roman"/>
                <w:sz w:val="24"/>
                <w:szCs w:val="24"/>
              </w:rPr>
            </w:pPr>
            <w:r w:rsidRPr="00E118A4">
              <w:rPr>
                <w:rFonts w:ascii="Times New Roman" w:hAnsi="Times New Roman" w:cs="Times New Roman"/>
                <w:sz w:val="24"/>
                <w:szCs w:val="24"/>
              </w:rPr>
              <w:t>Major</w:t>
            </w:r>
            <w:r w:rsidR="006D4717" w:rsidRPr="00E118A4">
              <w:rPr>
                <w:rFonts w:ascii="Times New Roman" w:hAnsi="Times New Roman" w:cs="Times New Roman"/>
                <w:sz w:val="24"/>
                <w:szCs w:val="24"/>
              </w:rPr>
              <w:t>s</w:t>
            </w:r>
          </w:p>
        </w:tc>
        <w:tc>
          <w:tcPr>
            <w:tcW w:w="3240" w:type="dxa"/>
          </w:tcPr>
          <w:p w:rsidR="00185E03" w:rsidRPr="00E118A4" w:rsidRDefault="00182C1A" w:rsidP="006D4717">
            <w:pPr>
              <w:jc w:val="center"/>
              <w:rPr>
                <w:rFonts w:ascii="Times New Roman" w:hAnsi="Times New Roman" w:cs="Times New Roman"/>
                <w:sz w:val="24"/>
                <w:szCs w:val="24"/>
              </w:rPr>
            </w:pPr>
            <w:r w:rsidRPr="00E118A4">
              <w:rPr>
                <w:rFonts w:ascii="Times New Roman" w:hAnsi="Times New Roman" w:cs="Times New Roman"/>
                <w:sz w:val="24"/>
                <w:szCs w:val="24"/>
              </w:rPr>
              <w:t>Number of completers certified</w:t>
            </w:r>
          </w:p>
        </w:tc>
        <w:tc>
          <w:tcPr>
            <w:tcW w:w="3685" w:type="dxa"/>
          </w:tcPr>
          <w:p w:rsidR="00185E03" w:rsidRPr="00E118A4" w:rsidRDefault="00182C1A" w:rsidP="006D4717">
            <w:pPr>
              <w:jc w:val="center"/>
              <w:rPr>
                <w:rFonts w:ascii="Times New Roman" w:hAnsi="Times New Roman" w:cs="Times New Roman"/>
                <w:sz w:val="24"/>
                <w:szCs w:val="24"/>
              </w:rPr>
            </w:pPr>
            <w:r w:rsidRPr="00E118A4">
              <w:rPr>
                <w:rFonts w:ascii="Times New Roman" w:hAnsi="Times New Roman" w:cs="Times New Roman"/>
                <w:sz w:val="24"/>
                <w:szCs w:val="24"/>
              </w:rPr>
              <w:t>Numbers in position in which certified</w:t>
            </w:r>
          </w:p>
        </w:tc>
      </w:tr>
      <w:tr w:rsidR="00E118A4" w:rsidRPr="00E118A4" w:rsidTr="006D4717">
        <w:tc>
          <w:tcPr>
            <w:tcW w:w="2425" w:type="dxa"/>
          </w:tcPr>
          <w:p w:rsidR="00182C1A" w:rsidRPr="00E118A4" w:rsidRDefault="00182C1A">
            <w:pPr>
              <w:rPr>
                <w:rFonts w:ascii="Times New Roman" w:hAnsi="Times New Roman" w:cs="Times New Roman"/>
                <w:sz w:val="24"/>
                <w:szCs w:val="24"/>
              </w:rPr>
            </w:pPr>
            <w:r w:rsidRPr="00E118A4">
              <w:rPr>
                <w:rFonts w:ascii="Times New Roman" w:hAnsi="Times New Roman" w:cs="Times New Roman"/>
                <w:sz w:val="24"/>
                <w:szCs w:val="24"/>
              </w:rPr>
              <w:t>Initial</w:t>
            </w:r>
          </w:p>
        </w:tc>
        <w:tc>
          <w:tcPr>
            <w:tcW w:w="3240" w:type="dxa"/>
          </w:tcPr>
          <w:p w:rsidR="00182C1A" w:rsidRPr="00E118A4" w:rsidRDefault="00182C1A" w:rsidP="006D4717">
            <w:pPr>
              <w:jc w:val="center"/>
              <w:rPr>
                <w:rFonts w:ascii="Times New Roman" w:hAnsi="Times New Roman" w:cs="Times New Roman"/>
                <w:sz w:val="24"/>
                <w:szCs w:val="24"/>
              </w:rPr>
            </w:pPr>
          </w:p>
        </w:tc>
        <w:tc>
          <w:tcPr>
            <w:tcW w:w="3685" w:type="dxa"/>
          </w:tcPr>
          <w:p w:rsidR="00182C1A" w:rsidRPr="00E118A4" w:rsidRDefault="00182C1A" w:rsidP="006D4717">
            <w:pPr>
              <w:jc w:val="center"/>
              <w:rPr>
                <w:rFonts w:ascii="Times New Roman" w:hAnsi="Times New Roman" w:cs="Times New Roman"/>
                <w:sz w:val="24"/>
                <w:szCs w:val="24"/>
              </w:rPr>
            </w:pPr>
          </w:p>
        </w:tc>
      </w:tr>
      <w:tr w:rsidR="00E118A4" w:rsidRPr="00E118A4" w:rsidTr="006D4717">
        <w:tc>
          <w:tcPr>
            <w:tcW w:w="2425" w:type="dxa"/>
          </w:tcPr>
          <w:p w:rsidR="00185E03" w:rsidRPr="00E118A4" w:rsidRDefault="00182C1A">
            <w:pPr>
              <w:rPr>
                <w:rFonts w:ascii="Times New Roman" w:hAnsi="Times New Roman" w:cs="Times New Roman"/>
                <w:sz w:val="24"/>
                <w:szCs w:val="24"/>
              </w:rPr>
            </w:pPr>
            <w:r w:rsidRPr="00E118A4">
              <w:rPr>
                <w:rFonts w:ascii="Times New Roman" w:hAnsi="Times New Roman" w:cs="Times New Roman"/>
                <w:sz w:val="24"/>
                <w:szCs w:val="24"/>
              </w:rPr>
              <w:t>Elementary Education</w:t>
            </w:r>
          </w:p>
        </w:tc>
        <w:tc>
          <w:tcPr>
            <w:tcW w:w="3240" w:type="dxa"/>
          </w:tcPr>
          <w:p w:rsidR="00185E03" w:rsidRPr="00E118A4" w:rsidRDefault="006D4717" w:rsidP="006D4717">
            <w:pPr>
              <w:jc w:val="center"/>
              <w:rPr>
                <w:rFonts w:ascii="Times New Roman" w:hAnsi="Times New Roman" w:cs="Times New Roman"/>
                <w:sz w:val="24"/>
                <w:szCs w:val="24"/>
              </w:rPr>
            </w:pPr>
            <w:r w:rsidRPr="00E118A4">
              <w:rPr>
                <w:rFonts w:ascii="Times New Roman" w:hAnsi="Times New Roman" w:cs="Times New Roman"/>
                <w:sz w:val="24"/>
                <w:szCs w:val="24"/>
              </w:rPr>
              <w:t>6</w:t>
            </w:r>
          </w:p>
        </w:tc>
        <w:tc>
          <w:tcPr>
            <w:tcW w:w="3685" w:type="dxa"/>
          </w:tcPr>
          <w:p w:rsidR="00185E03" w:rsidRPr="00E118A4" w:rsidRDefault="006D4717" w:rsidP="006D4717">
            <w:pPr>
              <w:jc w:val="center"/>
              <w:rPr>
                <w:rFonts w:ascii="Times New Roman" w:hAnsi="Times New Roman" w:cs="Times New Roman"/>
                <w:sz w:val="24"/>
                <w:szCs w:val="24"/>
              </w:rPr>
            </w:pPr>
            <w:r w:rsidRPr="00E118A4">
              <w:rPr>
                <w:rFonts w:ascii="Times New Roman" w:hAnsi="Times New Roman" w:cs="Times New Roman"/>
                <w:sz w:val="24"/>
                <w:szCs w:val="24"/>
              </w:rPr>
              <w:t>6</w:t>
            </w:r>
          </w:p>
        </w:tc>
      </w:tr>
      <w:tr w:rsidR="00E118A4" w:rsidRPr="00E118A4" w:rsidTr="006D4717">
        <w:tc>
          <w:tcPr>
            <w:tcW w:w="2425" w:type="dxa"/>
          </w:tcPr>
          <w:p w:rsidR="00182C1A" w:rsidRPr="00E118A4" w:rsidRDefault="006D4717">
            <w:pPr>
              <w:rPr>
                <w:rFonts w:ascii="Times New Roman" w:hAnsi="Times New Roman" w:cs="Times New Roman"/>
                <w:sz w:val="24"/>
                <w:szCs w:val="24"/>
              </w:rPr>
            </w:pPr>
            <w:r w:rsidRPr="00E118A4">
              <w:rPr>
                <w:rFonts w:ascii="Times New Roman" w:hAnsi="Times New Roman" w:cs="Times New Roman"/>
                <w:sz w:val="24"/>
                <w:szCs w:val="24"/>
              </w:rPr>
              <w:t>All-Level – Music</w:t>
            </w:r>
          </w:p>
        </w:tc>
        <w:tc>
          <w:tcPr>
            <w:tcW w:w="3240" w:type="dxa"/>
          </w:tcPr>
          <w:p w:rsidR="00182C1A" w:rsidRPr="00E118A4" w:rsidRDefault="006D4717" w:rsidP="006D4717">
            <w:pPr>
              <w:jc w:val="center"/>
              <w:rPr>
                <w:rFonts w:ascii="Times New Roman" w:hAnsi="Times New Roman" w:cs="Times New Roman"/>
                <w:sz w:val="24"/>
                <w:szCs w:val="24"/>
              </w:rPr>
            </w:pPr>
            <w:r w:rsidRPr="00E118A4">
              <w:rPr>
                <w:rFonts w:ascii="Times New Roman" w:hAnsi="Times New Roman" w:cs="Times New Roman"/>
                <w:sz w:val="24"/>
                <w:szCs w:val="24"/>
              </w:rPr>
              <w:t>1</w:t>
            </w:r>
          </w:p>
        </w:tc>
        <w:tc>
          <w:tcPr>
            <w:tcW w:w="3685" w:type="dxa"/>
          </w:tcPr>
          <w:p w:rsidR="00182C1A" w:rsidRPr="00E118A4" w:rsidRDefault="006D4717" w:rsidP="006D4717">
            <w:pPr>
              <w:jc w:val="center"/>
              <w:rPr>
                <w:rFonts w:ascii="Times New Roman" w:hAnsi="Times New Roman" w:cs="Times New Roman"/>
                <w:sz w:val="24"/>
                <w:szCs w:val="24"/>
              </w:rPr>
            </w:pPr>
            <w:r w:rsidRPr="00E118A4">
              <w:rPr>
                <w:rFonts w:ascii="Times New Roman" w:hAnsi="Times New Roman" w:cs="Times New Roman"/>
                <w:sz w:val="24"/>
                <w:szCs w:val="24"/>
              </w:rPr>
              <w:t>1</w:t>
            </w:r>
          </w:p>
        </w:tc>
      </w:tr>
      <w:tr w:rsidR="00E118A4" w:rsidRPr="00E118A4" w:rsidTr="006D4717">
        <w:tc>
          <w:tcPr>
            <w:tcW w:w="2425" w:type="dxa"/>
          </w:tcPr>
          <w:p w:rsidR="006D4717" w:rsidRPr="00E118A4" w:rsidRDefault="006D4717">
            <w:pPr>
              <w:rPr>
                <w:rFonts w:ascii="Times New Roman" w:hAnsi="Times New Roman" w:cs="Times New Roman"/>
                <w:sz w:val="24"/>
                <w:szCs w:val="24"/>
              </w:rPr>
            </w:pPr>
          </w:p>
        </w:tc>
        <w:tc>
          <w:tcPr>
            <w:tcW w:w="3240" w:type="dxa"/>
          </w:tcPr>
          <w:p w:rsidR="006D4717" w:rsidRPr="00E118A4" w:rsidRDefault="006D4717" w:rsidP="006D4717">
            <w:pPr>
              <w:jc w:val="center"/>
              <w:rPr>
                <w:rFonts w:ascii="Times New Roman" w:hAnsi="Times New Roman" w:cs="Times New Roman"/>
                <w:sz w:val="24"/>
                <w:szCs w:val="24"/>
              </w:rPr>
            </w:pPr>
          </w:p>
        </w:tc>
        <w:tc>
          <w:tcPr>
            <w:tcW w:w="3685" w:type="dxa"/>
          </w:tcPr>
          <w:p w:rsidR="006D4717" w:rsidRPr="00E118A4" w:rsidRDefault="006D4717" w:rsidP="006D4717">
            <w:pPr>
              <w:jc w:val="center"/>
              <w:rPr>
                <w:rFonts w:ascii="Times New Roman" w:hAnsi="Times New Roman" w:cs="Times New Roman"/>
                <w:sz w:val="24"/>
                <w:szCs w:val="24"/>
              </w:rPr>
            </w:pPr>
          </w:p>
        </w:tc>
      </w:tr>
      <w:tr w:rsidR="00E118A4" w:rsidRPr="00E118A4" w:rsidTr="006D4717">
        <w:tc>
          <w:tcPr>
            <w:tcW w:w="2425" w:type="dxa"/>
          </w:tcPr>
          <w:p w:rsidR="006D4717" w:rsidRPr="00E118A4" w:rsidRDefault="006D4717">
            <w:pPr>
              <w:rPr>
                <w:rFonts w:ascii="Times New Roman" w:hAnsi="Times New Roman" w:cs="Times New Roman"/>
                <w:sz w:val="24"/>
                <w:szCs w:val="24"/>
              </w:rPr>
            </w:pPr>
            <w:r w:rsidRPr="00E118A4">
              <w:rPr>
                <w:rFonts w:ascii="Times New Roman" w:hAnsi="Times New Roman" w:cs="Times New Roman"/>
                <w:sz w:val="24"/>
                <w:szCs w:val="24"/>
              </w:rPr>
              <w:t>Advanced</w:t>
            </w:r>
          </w:p>
        </w:tc>
        <w:tc>
          <w:tcPr>
            <w:tcW w:w="3240" w:type="dxa"/>
          </w:tcPr>
          <w:p w:rsidR="006D4717" w:rsidRPr="00E118A4" w:rsidRDefault="006D4717" w:rsidP="006D4717">
            <w:pPr>
              <w:jc w:val="center"/>
              <w:rPr>
                <w:rFonts w:ascii="Times New Roman" w:hAnsi="Times New Roman" w:cs="Times New Roman"/>
                <w:sz w:val="24"/>
                <w:szCs w:val="24"/>
              </w:rPr>
            </w:pPr>
          </w:p>
        </w:tc>
        <w:tc>
          <w:tcPr>
            <w:tcW w:w="3685" w:type="dxa"/>
          </w:tcPr>
          <w:p w:rsidR="006D4717" w:rsidRPr="00E118A4" w:rsidRDefault="006D4717" w:rsidP="006D4717">
            <w:pPr>
              <w:jc w:val="center"/>
              <w:rPr>
                <w:rFonts w:ascii="Times New Roman" w:hAnsi="Times New Roman" w:cs="Times New Roman"/>
                <w:sz w:val="24"/>
                <w:szCs w:val="24"/>
              </w:rPr>
            </w:pPr>
          </w:p>
        </w:tc>
      </w:tr>
      <w:tr w:rsidR="00E118A4" w:rsidRPr="00E118A4" w:rsidTr="006D4717">
        <w:tc>
          <w:tcPr>
            <w:tcW w:w="2425" w:type="dxa"/>
          </w:tcPr>
          <w:p w:rsidR="006D4717" w:rsidRPr="00E118A4" w:rsidRDefault="006D4717">
            <w:pPr>
              <w:rPr>
                <w:rFonts w:ascii="Times New Roman" w:hAnsi="Times New Roman" w:cs="Times New Roman"/>
                <w:sz w:val="24"/>
                <w:szCs w:val="24"/>
              </w:rPr>
            </w:pPr>
            <w:r w:rsidRPr="00E118A4">
              <w:rPr>
                <w:rFonts w:ascii="Times New Roman" w:hAnsi="Times New Roman" w:cs="Times New Roman"/>
                <w:sz w:val="24"/>
                <w:szCs w:val="24"/>
              </w:rPr>
              <w:t>Elementary Education</w:t>
            </w:r>
          </w:p>
        </w:tc>
        <w:tc>
          <w:tcPr>
            <w:tcW w:w="3240" w:type="dxa"/>
          </w:tcPr>
          <w:p w:rsidR="006D4717" w:rsidRPr="00E118A4" w:rsidRDefault="006D4717" w:rsidP="006D4717">
            <w:pPr>
              <w:jc w:val="center"/>
              <w:rPr>
                <w:rFonts w:ascii="Times New Roman" w:hAnsi="Times New Roman" w:cs="Times New Roman"/>
                <w:sz w:val="24"/>
                <w:szCs w:val="24"/>
              </w:rPr>
            </w:pPr>
            <w:r w:rsidRPr="00E118A4">
              <w:rPr>
                <w:rFonts w:ascii="Times New Roman" w:hAnsi="Times New Roman" w:cs="Times New Roman"/>
                <w:sz w:val="24"/>
                <w:szCs w:val="24"/>
              </w:rPr>
              <w:t>4</w:t>
            </w:r>
          </w:p>
        </w:tc>
        <w:tc>
          <w:tcPr>
            <w:tcW w:w="3685" w:type="dxa"/>
          </w:tcPr>
          <w:p w:rsidR="006D4717" w:rsidRPr="00E118A4" w:rsidRDefault="006D4717" w:rsidP="006D4717">
            <w:pPr>
              <w:jc w:val="center"/>
              <w:rPr>
                <w:rFonts w:ascii="Times New Roman" w:hAnsi="Times New Roman" w:cs="Times New Roman"/>
                <w:sz w:val="24"/>
                <w:szCs w:val="24"/>
              </w:rPr>
            </w:pPr>
            <w:r w:rsidRPr="00E118A4">
              <w:rPr>
                <w:rFonts w:ascii="Times New Roman" w:hAnsi="Times New Roman" w:cs="Times New Roman"/>
                <w:sz w:val="24"/>
                <w:szCs w:val="24"/>
              </w:rPr>
              <w:t>4</w:t>
            </w:r>
          </w:p>
        </w:tc>
      </w:tr>
      <w:tr w:rsidR="00E118A4" w:rsidRPr="00E118A4" w:rsidTr="006D4717">
        <w:tc>
          <w:tcPr>
            <w:tcW w:w="2425" w:type="dxa"/>
          </w:tcPr>
          <w:p w:rsidR="006D4717" w:rsidRPr="00E118A4" w:rsidRDefault="006D4717">
            <w:pPr>
              <w:rPr>
                <w:rFonts w:ascii="Times New Roman" w:hAnsi="Times New Roman" w:cs="Times New Roman"/>
                <w:sz w:val="24"/>
                <w:szCs w:val="24"/>
              </w:rPr>
            </w:pPr>
            <w:r w:rsidRPr="00E118A4">
              <w:rPr>
                <w:rFonts w:ascii="Times New Roman" w:hAnsi="Times New Roman" w:cs="Times New Roman"/>
                <w:sz w:val="24"/>
                <w:szCs w:val="24"/>
              </w:rPr>
              <w:t>Secondary</w:t>
            </w:r>
          </w:p>
        </w:tc>
        <w:tc>
          <w:tcPr>
            <w:tcW w:w="3240" w:type="dxa"/>
          </w:tcPr>
          <w:p w:rsidR="006D4717" w:rsidRPr="00E118A4" w:rsidRDefault="006D4717" w:rsidP="006D4717">
            <w:pPr>
              <w:jc w:val="center"/>
              <w:rPr>
                <w:rFonts w:ascii="Times New Roman" w:hAnsi="Times New Roman" w:cs="Times New Roman"/>
                <w:sz w:val="24"/>
                <w:szCs w:val="24"/>
              </w:rPr>
            </w:pPr>
            <w:r w:rsidRPr="00E118A4">
              <w:rPr>
                <w:rFonts w:ascii="Times New Roman" w:hAnsi="Times New Roman" w:cs="Times New Roman"/>
                <w:sz w:val="24"/>
                <w:szCs w:val="24"/>
              </w:rPr>
              <w:t>1</w:t>
            </w:r>
          </w:p>
        </w:tc>
        <w:tc>
          <w:tcPr>
            <w:tcW w:w="3685" w:type="dxa"/>
          </w:tcPr>
          <w:p w:rsidR="006D4717" w:rsidRPr="00E118A4" w:rsidRDefault="006D4717" w:rsidP="006D4717">
            <w:pPr>
              <w:jc w:val="center"/>
              <w:rPr>
                <w:rFonts w:ascii="Times New Roman" w:hAnsi="Times New Roman" w:cs="Times New Roman"/>
                <w:sz w:val="24"/>
                <w:szCs w:val="24"/>
              </w:rPr>
            </w:pPr>
            <w:r w:rsidRPr="00E118A4">
              <w:rPr>
                <w:rFonts w:ascii="Times New Roman" w:hAnsi="Times New Roman" w:cs="Times New Roman"/>
                <w:sz w:val="24"/>
                <w:szCs w:val="24"/>
              </w:rPr>
              <w:t>1</w:t>
            </w:r>
          </w:p>
        </w:tc>
      </w:tr>
      <w:tr w:rsidR="006D4717" w:rsidRPr="00E118A4" w:rsidTr="006D4717">
        <w:tc>
          <w:tcPr>
            <w:tcW w:w="2425" w:type="dxa"/>
          </w:tcPr>
          <w:p w:rsidR="006D4717" w:rsidRPr="00E118A4" w:rsidRDefault="006D4717">
            <w:pPr>
              <w:rPr>
                <w:rFonts w:ascii="Times New Roman" w:hAnsi="Times New Roman" w:cs="Times New Roman"/>
                <w:sz w:val="24"/>
                <w:szCs w:val="24"/>
              </w:rPr>
            </w:pPr>
            <w:r w:rsidRPr="00E118A4">
              <w:rPr>
                <w:rFonts w:ascii="Times New Roman" w:hAnsi="Times New Roman" w:cs="Times New Roman"/>
                <w:sz w:val="24"/>
                <w:szCs w:val="24"/>
              </w:rPr>
              <w:t>Special Education</w:t>
            </w:r>
          </w:p>
        </w:tc>
        <w:tc>
          <w:tcPr>
            <w:tcW w:w="3240" w:type="dxa"/>
          </w:tcPr>
          <w:p w:rsidR="006D4717" w:rsidRPr="00E118A4" w:rsidRDefault="006D4717" w:rsidP="006D4717">
            <w:pPr>
              <w:jc w:val="center"/>
              <w:rPr>
                <w:rFonts w:ascii="Times New Roman" w:hAnsi="Times New Roman" w:cs="Times New Roman"/>
                <w:sz w:val="24"/>
                <w:szCs w:val="24"/>
              </w:rPr>
            </w:pPr>
            <w:r w:rsidRPr="00E118A4">
              <w:rPr>
                <w:rFonts w:ascii="Times New Roman" w:hAnsi="Times New Roman" w:cs="Times New Roman"/>
                <w:sz w:val="24"/>
                <w:szCs w:val="24"/>
              </w:rPr>
              <w:t>5</w:t>
            </w:r>
          </w:p>
        </w:tc>
        <w:tc>
          <w:tcPr>
            <w:tcW w:w="3685" w:type="dxa"/>
          </w:tcPr>
          <w:p w:rsidR="006D4717" w:rsidRPr="00E118A4" w:rsidRDefault="006D4717" w:rsidP="006D4717">
            <w:pPr>
              <w:jc w:val="center"/>
              <w:rPr>
                <w:rFonts w:ascii="Times New Roman" w:hAnsi="Times New Roman" w:cs="Times New Roman"/>
                <w:sz w:val="24"/>
                <w:szCs w:val="24"/>
              </w:rPr>
            </w:pPr>
            <w:r w:rsidRPr="00E118A4">
              <w:rPr>
                <w:rFonts w:ascii="Times New Roman" w:hAnsi="Times New Roman" w:cs="Times New Roman"/>
                <w:sz w:val="24"/>
                <w:szCs w:val="24"/>
              </w:rPr>
              <w:t>5</w:t>
            </w:r>
          </w:p>
        </w:tc>
      </w:tr>
    </w:tbl>
    <w:p w:rsidR="00185E03" w:rsidRPr="00E118A4" w:rsidRDefault="00185E03">
      <w:pPr>
        <w:rPr>
          <w:rFonts w:ascii="Times New Roman" w:hAnsi="Times New Roman" w:cs="Times New Roman"/>
          <w:sz w:val="24"/>
          <w:szCs w:val="24"/>
        </w:rPr>
      </w:pPr>
    </w:p>
    <w:p w:rsidR="00185E03" w:rsidRPr="00E118A4" w:rsidRDefault="006D4717">
      <w:pPr>
        <w:rPr>
          <w:rFonts w:ascii="Times New Roman" w:hAnsi="Times New Roman" w:cs="Times New Roman"/>
          <w:b/>
          <w:color w:val="FF0000"/>
          <w:sz w:val="24"/>
          <w:szCs w:val="24"/>
        </w:rPr>
      </w:pPr>
      <w:r w:rsidRPr="00E118A4">
        <w:rPr>
          <w:rFonts w:ascii="Times New Roman" w:hAnsi="Times New Roman" w:cs="Times New Roman"/>
          <w:b/>
          <w:color w:val="FF0000"/>
          <w:sz w:val="24"/>
          <w:szCs w:val="24"/>
        </w:rPr>
        <w:t>Measure 8</w:t>
      </w:r>
      <w:r w:rsidR="007F69C6" w:rsidRPr="00E118A4">
        <w:rPr>
          <w:rFonts w:ascii="Times New Roman" w:hAnsi="Times New Roman" w:cs="Times New Roman"/>
          <w:b/>
          <w:color w:val="FF0000"/>
          <w:sz w:val="24"/>
          <w:szCs w:val="24"/>
        </w:rPr>
        <w:t xml:space="preserve">: </w:t>
      </w:r>
      <w:r w:rsidRPr="00E118A4">
        <w:rPr>
          <w:rFonts w:ascii="Times New Roman" w:hAnsi="Times New Roman" w:cs="Times New Roman"/>
          <w:b/>
          <w:bCs/>
          <w:color w:val="FF0000"/>
          <w:sz w:val="24"/>
          <w:szCs w:val="24"/>
          <w:shd w:val="clear" w:color="auto" w:fill="FFFFFF"/>
        </w:rPr>
        <w:t>Student Loan Default Rate (Initial and Advanced</w:t>
      </w:r>
    </w:p>
    <w:p w:rsidR="00185E03" w:rsidRPr="00E118A4" w:rsidRDefault="00E118A4">
      <w:pPr>
        <w:rPr>
          <w:rFonts w:ascii="Times New Roman" w:hAnsi="Times New Roman" w:cs="Times New Roman"/>
          <w:sz w:val="24"/>
          <w:szCs w:val="24"/>
        </w:rPr>
      </w:pPr>
      <w:r>
        <w:rPr>
          <w:rFonts w:ascii="Times New Roman" w:hAnsi="Times New Roman" w:cs="Times New Roman"/>
          <w:sz w:val="24"/>
          <w:szCs w:val="24"/>
        </w:rPr>
        <w:t>Based on the information</w:t>
      </w:r>
      <w:r w:rsidR="00A94588" w:rsidRPr="00E118A4">
        <w:rPr>
          <w:rFonts w:ascii="Times New Roman" w:hAnsi="Times New Roman" w:cs="Times New Roman"/>
          <w:sz w:val="24"/>
          <w:szCs w:val="24"/>
        </w:rPr>
        <w:t xml:space="preserve"> from the Office of Financial Aid, the loan default rate is 17.9%.</w:t>
      </w:r>
    </w:p>
    <w:sectPr w:rsidR="00185E03" w:rsidRPr="00E118A4" w:rsidSect="00200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FB6"/>
    <w:multiLevelType w:val="hybridMultilevel"/>
    <w:tmpl w:val="8D0C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45411"/>
    <w:multiLevelType w:val="hybridMultilevel"/>
    <w:tmpl w:val="8BB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EDD"/>
    <w:multiLevelType w:val="hybridMultilevel"/>
    <w:tmpl w:val="9292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964C2"/>
    <w:multiLevelType w:val="hybridMultilevel"/>
    <w:tmpl w:val="65D4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D0516"/>
    <w:multiLevelType w:val="hybridMultilevel"/>
    <w:tmpl w:val="AC8ADBA0"/>
    <w:lvl w:ilvl="0" w:tplc="4C06DAD6">
      <w:start w:val="1"/>
      <w:numFmt w:val="bullet"/>
      <w:lvlText w:val="•"/>
      <w:lvlJc w:val="left"/>
      <w:pPr>
        <w:tabs>
          <w:tab w:val="num" w:pos="720"/>
        </w:tabs>
        <w:ind w:left="720" w:hanging="360"/>
      </w:pPr>
      <w:rPr>
        <w:rFonts w:ascii="Arial" w:hAnsi="Arial" w:cs="Times New Roman" w:hint="default"/>
      </w:rPr>
    </w:lvl>
    <w:lvl w:ilvl="1" w:tplc="E8F0C4CC">
      <w:start w:val="1"/>
      <w:numFmt w:val="bullet"/>
      <w:lvlText w:val="•"/>
      <w:lvlJc w:val="left"/>
      <w:pPr>
        <w:tabs>
          <w:tab w:val="num" w:pos="1440"/>
        </w:tabs>
        <w:ind w:left="1440" w:hanging="360"/>
      </w:pPr>
      <w:rPr>
        <w:rFonts w:ascii="Arial" w:hAnsi="Arial" w:cs="Times New Roman" w:hint="default"/>
      </w:rPr>
    </w:lvl>
    <w:lvl w:ilvl="2" w:tplc="394444E0">
      <w:start w:val="1"/>
      <w:numFmt w:val="bullet"/>
      <w:lvlText w:val="•"/>
      <w:lvlJc w:val="left"/>
      <w:pPr>
        <w:tabs>
          <w:tab w:val="num" w:pos="2160"/>
        </w:tabs>
        <w:ind w:left="2160" w:hanging="360"/>
      </w:pPr>
      <w:rPr>
        <w:rFonts w:ascii="Arial" w:hAnsi="Arial" w:cs="Times New Roman" w:hint="default"/>
      </w:rPr>
    </w:lvl>
    <w:lvl w:ilvl="3" w:tplc="9160B446">
      <w:start w:val="1"/>
      <w:numFmt w:val="bullet"/>
      <w:lvlText w:val="•"/>
      <w:lvlJc w:val="left"/>
      <w:pPr>
        <w:tabs>
          <w:tab w:val="num" w:pos="2880"/>
        </w:tabs>
        <w:ind w:left="2880" w:hanging="360"/>
      </w:pPr>
      <w:rPr>
        <w:rFonts w:ascii="Arial" w:hAnsi="Arial" w:cs="Times New Roman" w:hint="default"/>
      </w:rPr>
    </w:lvl>
    <w:lvl w:ilvl="4" w:tplc="710AF27A">
      <w:start w:val="1"/>
      <w:numFmt w:val="bullet"/>
      <w:lvlText w:val="•"/>
      <w:lvlJc w:val="left"/>
      <w:pPr>
        <w:tabs>
          <w:tab w:val="num" w:pos="3600"/>
        </w:tabs>
        <w:ind w:left="3600" w:hanging="360"/>
      </w:pPr>
      <w:rPr>
        <w:rFonts w:ascii="Arial" w:hAnsi="Arial" w:cs="Times New Roman" w:hint="default"/>
      </w:rPr>
    </w:lvl>
    <w:lvl w:ilvl="5" w:tplc="E020E706">
      <w:start w:val="1"/>
      <w:numFmt w:val="bullet"/>
      <w:lvlText w:val="•"/>
      <w:lvlJc w:val="left"/>
      <w:pPr>
        <w:tabs>
          <w:tab w:val="num" w:pos="4320"/>
        </w:tabs>
        <w:ind w:left="4320" w:hanging="360"/>
      </w:pPr>
      <w:rPr>
        <w:rFonts w:ascii="Arial" w:hAnsi="Arial" w:cs="Times New Roman" w:hint="default"/>
      </w:rPr>
    </w:lvl>
    <w:lvl w:ilvl="6" w:tplc="73C60832">
      <w:start w:val="1"/>
      <w:numFmt w:val="bullet"/>
      <w:lvlText w:val="•"/>
      <w:lvlJc w:val="left"/>
      <w:pPr>
        <w:tabs>
          <w:tab w:val="num" w:pos="5040"/>
        </w:tabs>
        <w:ind w:left="5040" w:hanging="360"/>
      </w:pPr>
      <w:rPr>
        <w:rFonts w:ascii="Arial" w:hAnsi="Arial" w:cs="Times New Roman" w:hint="default"/>
      </w:rPr>
    </w:lvl>
    <w:lvl w:ilvl="7" w:tplc="A20C3370">
      <w:start w:val="1"/>
      <w:numFmt w:val="bullet"/>
      <w:lvlText w:val="•"/>
      <w:lvlJc w:val="left"/>
      <w:pPr>
        <w:tabs>
          <w:tab w:val="num" w:pos="5760"/>
        </w:tabs>
        <w:ind w:left="5760" w:hanging="360"/>
      </w:pPr>
      <w:rPr>
        <w:rFonts w:ascii="Arial" w:hAnsi="Arial" w:cs="Times New Roman" w:hint="default"/>
      </w:rPr>
    </w:lvl>
    <w:lvl w:ilvl="8" w:tplc="D5EE926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530F2441"/>
    <w:multiLevelType w:val="multilevel"/>
    <w:tmpl w:val="26E6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270C5"/>
    <w:multiLevelType w:val="hybridMultilevel"/>
    <w:tmpl w:val="F58C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775CB"/>
    <w:multiLevelType w:val="hybridMultilevel"/>
    <w:tmpl w:val="6088ADC8"/>
    <w:lvl w:ilvl="0" w:tplc="ADF87636">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8" w15:restartNumberingAfterBreak="0">
    <w:nsid w:val="62936920"/>
    <w:multiLevelType w:val="hybridMultilevel"/>
    <w:tmpl w:val="57AA88E4"/>
    <w:lvl w:ilvl="0" w:tplc="1B5260A8">
      <w:start w:val="1"/>
      <w:numFmt w:val="bullet"/>
      <w:lvlText w:val="•"/>
      <w:lvlJc w:val="left"/>
      <w:pPr>
        <w:tabs>
          <w:tab w:val="num" w:pos="720"/>
        </w:tabs>
        <w:ind w:left="720" w:hanging="360"/>
      </w:pPr>
      <w:rPr>
        <w:rFonts w:ascii="Arial" w:hAnsi="Arial" w:cs="Times New Roman" w:hint="default"/>
      </w:rPr>
    </w:lvl>
    <w:lvl w:ilvl="1" w:tplc="859C2760">
      <w:start w:val="1"/>
      <w:numFmt w:val="bullet"/>
      <w:lvlText w:val="•"/>
      <w:lvlJc w:val="left"/>
      <w:pPr>
        <w:tabs>
          <w:tab w:val="num" w:pos="1440"/>
        </w:tabs>
        <w:ind w:left="1440" w:hanging="360"/>
      </w:pPr>
      <w:rPr>
        <w:rFonts w:ascii="Arial" w:hAnsi="Arial" w:cs="Times New Roman" w:hint="default"/>
      </w:rPr>
    </w:lvl>
    <w:lvl w:ilvl="2" w:tplc="E5928D82">
      <w:start w:val="1"/>
      <w:numFmt w:val="bullet"/>
      <w:lvlText w:val="•"/>
      <w:lvlJc w:val="left"/>
      <w:pPr>
        <w:tabs>
          <w:tab w:val="num" w:pos="2160"/>
        </w:tabs>
        <w:ind w:left="2160" w:hanging="360"/>
      </w:pPr>
      <w:rPr>
        <w:rFonts w:ascii="Arial" w:hAnsi="Arial" w:cs="Times New Roman" w:hint="default"/>
      </w:rPr>
    </w:lvl>
    <w:lvl w:ilvl="3" w:tplc="259884BC">
      <w:start w:val="1"/>
      <w:numFmt w:val="bullet"/>
      <w:lvlText w:val="•"/>
      <w:lvlJc w:val="left"/>
      <w:pPr>
        <w:tabs>
          <w:tab w:val="num" w:pos="2880"/>
        </w:tabs>
        <w:ind w:left="2880" w:hanging="360"/>
      </w:pPr>
      <w:rPr>
        <w:rFonts w:ascii="Arial" w:hAnsi="Arial" w:cs="Times New Roman" w:hint="default"/>
      </w:rPr>
    </w:lvl>
    <w:lvl w:ilvl="4" w:tplc="9FE6B9D4">
      <w:start w:val="1"/>
      <w:numFmt w:val="bullet"/>
      <w:lvlText w:val="•"/>
      <w:lvlJc w:val="left"/>
      <w:pPr>
        <w:tabs>
          <w:tab w:val="num" w:pos="3600"/>
        </w:tabs>
        <w:ind w:left="3600" w:hanging="360"/>
      </w:pPr>
      <w:rPr>
        <w:rFonts w:ascii="Arial" w:hAnsi="Arial" w:cs="Times New Roman" w:hint="default"/>
      </w:rPr>
    </w:lvl>
    <w:lvl w:ilvl="5" w:tplc="6DB4230A">
      <w:start w:val="1"/>
      <w:numFmt w:val="bullet"/>
      <w:lvlText w:val="•"/>
      <w:lvlJc w:val="left"/>
      <w:pPr>
        <w:tabs>
          <w:tab w:val="num" w:pos="4320"/>
        </w:tabs>
        <w:ind w:left="4320" w:hanging="360"/>
      </w:pPr>
      <w:rPr>
        <w:rFonts w:ascii="Arial" w:hAnsi="Arial" w:cs="Times New Roman" w:hint="default"/>
      </w:rPr>
    </w:lvl>
    <w:lvl w:ilvl="6" w:tplc="841E033A">
      <w:start w:val="1"/>
      <w:numFmt w:val="bullet"/>
      <w:lvlText w:val="•"/>
      <w:lvlJc w:val="left"/>
      <w:pPr>
        <w:tabs>
          <w:tab w:val="num" w:pos="5040"/>
        </w:tabs>
        <w:ind w:left="5040" w:hanging="360"/>
      </w:pPr>
      <w:rPr>
        <w:rFonts w:ascii="Arial" w:hAnsi="Arial" w:cs="Times New Roman" w:hint="default"/>
      </w:rPr>
    </w:lvl>
    <w:lvl w:ilvl="7" w:tplc="0BEA8BD2">
      <w:start w:val="1"/>
      <w:numFmt w:val="bullet"/>
      <w:lvlText w:val="•"/>
      <w:lvlJc w:val="left"/>
      <w:pPr>
        <w:tabs>
          <w:tab w:val="num" w:pos="5760"/>
        </w:tabs>
        <w:ind w:left="5760" w:hanging="360"/>
      </w:pPr>
      <w:rPr>
        <w:rFonts w:ascii="Arial" w:hAnsi="Arial" w:cs="Times New Roman" w:hint="default"/>
      </w:rPr>
    </w:lvl>
    <w:lvl w:ilvl="8" w:tplc="8EBA0E6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68723129"/>
    <w:multiLevelType w:val="hybridMultilevel"/>
    <w:tmpl w:val="B43E5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2D44DC"/>
    <w:multiLevelType w:val="hybridMultilevel"/>
    <w:tmpl w:val="ED547784"/>
    <w:lvl w:ilvl="0" w:tplc="6B38D16A">
      <w:start w:val="1"/>
      <w:numFmt w:val="bullet"/>
      <w:lvlText w:val="•"/>
      <w:lvlJc w:val="left"/>
      <w:pPr>
        <w:tabs>
          <w:tab w:val="num" w:pos="720"/>
        </w:tabs>
        <w:ind w:left="720" w:hanging="360"/>
      </w:pPr>
      <w:rPr>
        <w:rFonts w:ascii="Arial" w:hAnsi="Arial" w:cs="Times New Roman" w:hint="default"/>
      </w:rPr>
    </w:lvl>
    <w:lvl w:ilvl="1" w:tplc="8D3CCB38">
      <w:start w:val="1"/>
      <w:numFmt w:val="bullet"/>
      <w:lvlText w:val="•"/>
      <w:lvlJc w:val="left"/>
      <w:pPr>
        <w:tabs>
          <w:tab w:val="num" w:pos="1440"/>
        </w:tabs>
        <w:ind w:left="1440" w:hanging="360"/>
      </w:pPr>
      <w:rPr>
        <w:rFonts w:ascii="Arial" w:hAnsi="Arial" w:cs="Times New Roman" w:hint="default"/>
      </w:rPr>
    </w:lvl>
    <w:lvl w:ilvl="2" w:tplc="DCCC417C">
      <w:start w:val="1"/>
      <w:numFmt w:val="bullet"/>
      <w:lvlText w:val="•"/>
      <w:lvlJc w:val="left"/>
      <w:pPr>
        <w:tabs>
          <w:tab w:val="num" w:pos="2160"/>
        </w:tabs>
        <w:ind w:left="2160" w:hanging="360"/>
      </w:pPr>
      <w:rPr>
        <w:rFonts w:ascii="Arial" w:hAnsi="Arial" w:cs="Times New Roman" w:hint="default"/>
      </w:rPr>
    </w:lvl>
    <w:lvl w:ilvl="3" w:tplc="9076A0F4">
      <w:start w:val="1"/>
      <w:numFmt w:val="bullet"/>
      <w:lvlText w:val="•"/>
      <w:lvlJc w:val="left"/>
      <w:pPr>
        <w:tabs>
          <w:tab w:val="num" w:pos="2880"/>
        </w:tabs>
        <w:ind w:left="2880" w:hanging="360"/>
      </w:pPr>
      <w:rPr>
        <w:rFonts w:ascii="Arial" w:hAnsi="Arial" w:cs="Times New Roman" w:hint="default"/>
      </w:rPr>
    </w:lvl>
    <w:lvl w:ilvl="4" w:tplc="37203424">
      <w:start w:val="1"/>
      <w:numFmt w:val="bullet"/>
      <w:lvlText w:val="•"/>
      <w:lvlJc w:val="left"/>
      <w:pPr>
        <w:tabs>
          <w:tab w:val="num" w:pos="3600"/>
        </w:tabs>
        <w:ind w:left="3600" w:hanging="360"/>
      </w:pPr>
      <w:rPr>
        <w:rFonts w:ascii="Arial" w:hAnsi="Arial" w:cs="Times New Roman" w:hint="default"/>
      </w:rPr>
    </w:lvl>
    <w:lvl w:ilvl="5" w:tplc="9A10D2D2">
      <w:start w:val="1"/>
      <w:numFmt w:val="bullet"/>
      <w:lvlText w:val="•"/>
      <w:lvlJc w:val="left"/>
      <w:pPr>
        <w:tabs>
          <w:tab w:val="num" w:pos="4320"/>
        </w:tabs>
        <w:ind w:left="4320" w:hanging="360"/>
      </w:pPr>
      <w:rPr>
        <w:rFonts w:ascii="Arial" w:hAnsi="Arial" w:cs="Times New Roman" w:hint="default"/>
      </w:rPr>
    </w:lvl>
    <w:lvl w:ilvl="6" w:tplc="64C6845A">
      <w:start w:val="1"/>
      <w:numFmt w:val="bullet"/>
      <w:lvlText w:val="•"/>
      <w:lvlJc w:val="left"/>
      <w:pPr>
        <w:tabs>
          <w:tab w:val="num" w:pos="5040"/>
        </w:tabs>
        <w:ind w:left="5040" w:hanging="360"/>
      </w:pPr>
      <w:rPr>
        <w:rFonts w:ascii="Arial" w:hAnsi="Arial" w:cs="Times New Roman" w:hint="default"/>
      </w:rPr>
    </w:lvl>
    <w:lvl w:ilvl="7" w:tplc="0FBC23F8">
      <w:start w:val="1"/>
      <w:numFmt w:val="bullet"/>
      <w:lvlText w:val="•"/>
      <w:lvlJc w:val="left"/>
      <w:pPr>
        <w:tabs>
          <w:tab w:val="num" w:pos="5760"/>
        </w:tabs>
        <w:ind w:left="5760" w:hanging="360"/>
      </w:pPr>
      <w:rPr>
        <w:rFonts w:ascii="Arial" w:hAnsi="Arial" w:cs="Times New Roman" w:hint="default"/>
      </w:rPr>
    </w:lvl>
    <w:lvl w:ilvl="8" w:tplc="2C644F1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79881E07"/>
    <w:multiLevelType w:val="hybridMultilevel"/>
    <w:tmpl w:val="33BE75B6"/>
    <w:lvl w:ilvl="0" w:tplc="40AA0A4E">
      <w:start w:val="1"/>
      <w:numFmt w:val="bullet"/>
      <w:lvlText w:val="•"/>
      <w:lvlJc w:val="left"/>
      <w:pPr>
        <w:tabs>
          <w:tab w:val="num" w:pos="720"/>
        </w:tabs>
        <w:ind w:left="720" w:hanging="360"/>
      </w:pPr>
      <w:rPr>
        <w:rFonts w:ascii="Arial" w:hAnsi="Arial" w:cs="Times New Roman" w:hint="default"/>
      </w:rPr>
    </w:lvl>
    <w:lvl w:ilvl="1" w:tplc="C1FEE5B4">
      <w:start w:val="1"/>
      <w:numFmt w:val="bullet"/>
      <w:lvlText w:val="•"/>
      <w:lvlJc w:val="left"/>
      <w:pPr>
        <w:tabs>
          <w:tab w:val="num" w:pos="1440"/>
        </w:tabs>
        <w:ind w:left="1440" w:hanging="360"/>
      </w:pPr>
      <w:rPr>
        <w:rFonts w:ascii="Arial" w:hAnsi="Arial" w:cs="Times New Roman" w:hint="default"/>
      </w:rPr>
    </w:lvl>
    <w:lvl w:ilvl="2" w:tplc="C2302D32">
      <w:start w:val="1"/>
      <w:numFmt w:val="bullet"/>
      <w:lvlText w:val="•"/>
      <w:lvlJc w:val="left"/>
      <w:pPr>
        <w:tabs>
          <w:tab w:val="num" w:pos="2160"/>
        </w:tabs>
        <w:ind w:left="2160" w:hanging="360"/>
      </w:pPr>
      <w:rPr>
        <w:rFonts w:ascii="Arial" w:hAnsi="Arial" w:cs="Times New Roman" w:hint="default"/>
      </w:rPr>
    </w:lvl>
    <w:lvl w:ilvl="3" w:tplc="60DE7CC6">
      <w:start w:val="1"/>
      <w:numFmt w:val="bullet"/>
      <w:lvlText w:val="•"/>
      <w:lvlJc w:val="left"/>
      <w:pPr>
        <w:tabs>
          <w:tab w:val="num" w:pos="2880"/>
        </w:tabs>
        <w:ind w:left="2880" w:hanging="360"/>
      </w:pPr>
      <w:rPr>
        <w:rFonts w:ascii="Arial" w:hAnsi="Arial" w:cs="Times New Roman" w:hint="default"/>
      </w:rPr>
    </w:lvl>
    <w:lvl w:ilvl="4" w:tplc="2EFA84D8">
      <w:start w:val="1"/>
      <w:numFmt w:val="bullet"/>
      <w:lvlText w:val="•"/>
      <w:lvlJc w:val="left"/>
      <w:pPr>
        <w:tabs>
          <w:tab w:val="num" w:pos="3600"/>
        </w:tabs>
        <w:ind w:left="3600" w:hanging="360"/>
      </w:pPr>
      <w:rPr>
        <w:rFonts w:ascii="Arial" w:hAnsi="Arial" w:cs="Times New Roman" w:hint="default"/>
      </w:rPr>
    </w:lvl>
    <w:lvl w:ilvl="5" w:tplc="EA6CF850">
      <w:start w:val="1"/>
      <w:numFmt w:val="bullet"/>
      <w:lvlText w:val="•"/>
      <w:lvlJc w:val="left"/>
      <w:pPr>
        <w:tabs>
          <w:tab w:val="num" w:pos="4320"/>
        </w:tabs>
        <w:ind w:left="4320" w:hanging="360"/>
      </w:pPr>
      <w:rPr>
        <w:rFonts w:ascii="Arial" w:hAnsi="Arial" w:cs="Times New Roman" w:hint="default"/>
      </w:rPr>
    </w:lvl>
    <w:lvl w:ilvl="6" w:tplc="C89A3E7A">
      <w:start w:val="1"/>
      <w:numFmt w:val="bullet"/>
      <w:lvlText w:val="•"/>
      <w:lvlJc w:val="left"/>
      <w:pPr>
        <w:tabs>
          <w:tab w:val="num" w:pos="5040"/>
        </w:tabs>
        <w:ind w:left="5040" w:hanging="360"/>
      </w:pPr>
      <w:rPr>
        <w:rFonts w:ascii="Arial" w:hAnsi="Arial" w:cs="Times New Roman" w:hint="default"/>
      </w:rPr>
    </w:lvl>
    <w:lvl w:ilvl="7" w:tplc="1C703718">
      <w:start w:val="1"/>
      <w:numFmt w:val="bullet"/>
      <w:lvlText w:val="•"/>
      <w:lvlJc w:val="left"/>
      <w:pPr>
        <w:tabs>
          <w:tab w:val="num" w:pos="5760"/>
        </w:tabs>
        <w:ind w:left="5760" w:hanging="360"/>
      </w:pPr>
      <w:rPr>
        <w:rFonts w:ascii="Arial" w:hAnsi="Arial" w:cs="Times New Roman" w:hint="default"/>
      </w:rPr>
    </w:lvl>
    <w:lvl w:ilvl="8" w:tplc="03785228">
      <w:start w:val="1"/>
      <w:numFmt w:val="bullet"/>
      <w:lvlText w:val="•"/>
      <w:lvlJc w:val="left"/>
      <w:pPr>
        <w:tabs>
          <w:tab w:val="num" w:pos="6480"/>
        </w:tabs>
        <w:ind w:left="6480" w:hanging="360"/>
      </w:pPr>
      <w:rPr>
        <w:rFonts w:ascii="Arial" w:hAnsi="Arial" w:cs="Times New Roman" w:hint="default"/>
      </w:rPr>
    </w:lvl>
  </w:abstractNum>
  <w:num w:numId="1">
    <w:abstractNumId w:val="9"/>
  </w:num>
  <w:num w:numId="2">
    <w:abstractNumId w:val="5"/>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7"/>
  </w:num>
  <w:num w:numId="10">
    <w:abstractNumId w:val="3"/>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4A"/>
    <w:rsid w:val="0001082E"/>
    <w:rsid w:val="00182C1A"/>
    <w:rsid w:val="00185E03"/>
    <w:rsid w:val="00200A65"/>
    <w:rsid w:val="00202A48"/>
    <w:rsid w:val="003E144B"/>
    <w:rsid w:val="005F754A"/>
    <w:rsid w:val="006510DF"/>
    <w:rsid w:val="006D4717"/>
    <w:rsid w:val="00707A2D"/>
    <w:rsid w:val="007A3D52"/>
    <w:rsid w:val="007C6A96"/>
    <w:rsid w:val="007F69C6"/>
    <w:rsid w:val="00925BC9"/>
    <w:rsid w:val="00957E08"/>
    <w:rsid w:val="00A94588"/>
    <w:rsid w:val="00C77D58"/>
    <w:rsid w:val="00D679B8"/>
    <w:rsid w:val="00E118A4"/>
    <w:rsid w:val="00E9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85EA"/>
  <w15:chartTrackingRefBased/>
  <w15:docId w15:val="{E419E9E6-70C7-4C0E-B71F-9781F649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85E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54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5F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79B8"/>
    <w:rPr>
      <w:b/>
      <w:bCs/>
    </w:rPr>
  </w:style>
  <w:style w:type="paragraph" w:styleId="NoSpacing">
    <w:name w:val="No Spacing"/>
    <w:uiPriority w:val="1"/>
    <w:qFormat/>
    <w:rsid w:val="00185E03"/>
    <w:pPr>
      <w:spacing w:after="0" w:line="240" w:lineRule="auto"/>
    </w:pPr>
  </w:style>
  <w:style w:type="paragraph" w:styleId="NormalWeb">
    <w:name w:val="Normal (Web)"/>
    <w:basedOn w:val="Normal"/>
    <w:uiPriority w:val="99"/>
    <w:semiHidden/>
    <w:unhideWhenUsed/>
    <w:rsid w:val="00185E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5E03"/>
    <w:rPr>
      <w:color w:val="0000FF"/>
      <w:u w:val="single"/>
    </w:rPr>
  </w:style>
  <w:style w:type="character" w:customStyle="1" w:styleId="Heading4Char">
    <w:name w:val="Heading 4 Char"/>
    <w:basedOn w:val="DefaultParagraphFont"/>
    <w:link w:val="Heading4"/>
    <w:uiPriority w:val="9"/>
    <w:rsid w:val="00185E0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4407">
      <w:bodyDiv w:val="1"/>
      <w:marLeft w:val="0"/>
      <w:marRight w:val="0"/>
      <w:marTop w:val="0"/>
      <w:marBottom w:val="0"/>
      <w:divBdr>
        <w:top w:val="none" w:sz="0" w:space="0" w:color="auto"/>
        <w:left w:val="none" w:sz="0" w:space="0" w:color="auto"/>
        <w:bottom w:val="none" w:sz="0" w:space="0" w:color="auto"/>
        <w:right w:val="none" w:sz="0" w:space="0" w:color="auto"/>
      </w:divBdr>
    </w:div>
    <w:div w:id="794494069">
      <w:bodyDiv w:val="1"/>
      <w:marLeft w:val="0"/>
      <w:marRight w:val="0"/>
      <w:marTop w:val="0"/>
      <w:marBottom w:val="0"/>
      <w:divBdr>
        <w:top w:val="none" w:sz="0" w:space="0" w:color="auto"/>
        <w:left w:val="none" w:sz="0" w:space="0" w:color="auto"/>
        <w:bottom w:val="none" w:sz="0" w:space="0" w:color="auto"/>
        <w:right w:val="none" w:sz="0" w:space="0" w:color="auto"/>
      </w:divBdr>
    </w:div>
    <w:div w:id="16244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tle2.ed.gov/Secured/DataCollection/Institution/Institution.aspx?pid=dfe87b5b-8908-47bf-9c13-8db2c5eccac0&amp;c=ReportHo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F0452-04D5-4A1D-8D54-885D0F2D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Monroe</dc:creator>
  <cp:keywords/>
  <dc:description/>
  <cp:lastModifiedBy>Melanie Monroe</cp:lastModifiedBy>
  <cp:revision>6</cp:revision>
  <dcterms:created xsi:type="dcterms:W3CDTF">2020-04-16T13:33:00Z</dcterms:created>
  <dcterms:modified xsi:type="dcterms:W3CDTF">2020-04-28T15:04:00Z</dcterms:modified>
</cp:coreProperties>
</file>