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457" w:rsidRDefault="006B15EB">
      <w:r>
        <w:rPr>
          <w:b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-571500</wp:posOffset>
            </wp:positionV>
            <wp:extent cx="1447800" cy="954405"/>
            <wp:effectExtent l="19050" t="0" r="0" b="0"/>
            <wp:wrapSquare wrapText="bothSides"/>
            <wp:docPr id="2" name="Picture 2" descr="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terhead to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9330" t="7086" r="290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5457" w:rsidRPr="00DB5457">
        <w:rPr>
          <w:b/>
          <w:sz w:val="32"/>
          <w:szCs w:val="32"/>
        </w:rPr>
        <w:t xml:space="preserve">Policy # </w:t>
      </w:r>
      <w:r w:rsidR="00DB5457">
        <w:rPr>
          <w:b/>
          <w:sz w:val="32"/>
          <w:szCs w:val="32"/>
        </w:rPr>
        <w:t xml:space="preserve">     </w:t>
      </w:r>
      <w:r w:rsidR="0035162F">
        <w:rPr>
          <w:b/>
          <w:sz w:val="32"/>
          <w:szCs w:val="32"/>
        </w:rPr>
        <w:t>44201</w:t>
      </w:r>
      <w:r w:rsidR="00DB5457">
        <w:rPr>
          <w:b/>
          <w:sz w:val="32"/>
          <w:szCs w:val="32"/>
        </w:rPr>
        <w:t xml:space="preserve">        </w:t>
      </w:r>
      <w:r w:rsidR="00DB5457">
        <w:t xml:space="preserve">    </w:t>
      </w:r>
      <w:r w:rsidR="00DB5457" w:rsidRPr="00DB5457">
        <w:cr/>
      </w:r>
      <w:r w:rsidR="001E1F10">
        <w:pict>
          <v:rect id="_x0000_i1025" style="width:0;height:1.5pt" o:hralign="center" o:hrstd="t" o:hr="t" fillcolor="#aca899" stroked="f"/>
        </w:pict>
      </w:r>
    </w:p>
    <w:p w:rsidR="001D46E7" w:rsidRDefault="001D46E7"/>
    <w:p w:rsidR="00DB5457" w:rsidRDefault="0040237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ACADEMIC </w:t>
      </w:r>
      <w:r w:rsidR="00FE7B7E">
        <w:rPr>
          <w:b/>
          <w:sz w:val="28"/>
          <w:szCs w:val="28"/>
        </w:rPr>
        <w:t xml:space="preserve">DROP AND </w:t>
      </w:r>
      <w:r>
        <w:rPr>
          <w:b/>
          <w:sz w:val="28"/>
          <w:szCs w:val="28"/>
        </w:rPr>
        <w:t>WITHDRAWAL POLICY</w:t>
      </w:r>
    </w:p>
    <w:p w:rsidR="00DB5457" w:rsidRDefault="001E1F10">
      <w:r>
        <w:pict>
          <v:rect id="_x0000_i1026" style="width:0;height:1.5pt" o:hralign="center" o:hrstd="t" o:hr="t" fillcolor="#aca899" stroked="f"/>
        </w:pict>
      </w:r>
    </w:p>
    <w:p w:rsidR="006B60D7" w:rsidRDefault="006B60D7" w:rsidP="006B60D7">
      <w:pPr>
        <w:jc w:val="both"/>
      </w:pPr>
      <w:r w:rsidRPr="006B60D7">
        <w:rPr>
          <w:b/>
        </w:rPr>
        <w:t>Effective Date:</w:t>
      </w:r>
      <w:r>
        <w:t xml:space="preserve">  </w:t>
      </w:r>
      <w:r>
        <w:tab/>
      </w:r>
      <w:r w:rsidR="0035162F">
        <w:t>October 13, 2011</w:t>
      </w:r>
      <w:r>
        <w:tab/>
      </w:r>
      <w:r>
        <w:tab/>
      </w:r>
      <w:r>
        <w:tab/>
        <w:t xml:space="preserve"> </w:t>
      </w:r>
    </w:p>
    <w:p w:rsidR="006B60D7" w:rsidRDefault="006B60D7" w:rsidP="006B60D7">
      <w:pPr>
        <w:jc w:val="both"/>
        <w:rPr>
          <w:b/>
        </w:rPr>
      </w:pPr>
      <w:r w:rsidRPr="006B60D7">
        <w:rPr>
          <w:b/>
        </w:rPr>
        <w:t xml:space="preserve">Responsible Office:  </w:t>
      </w:r>
      <w:r w:rsidR="00D410BB">
        <w:rPr>
          <w:b/>
        </w:rPr>
        <w:t xml:space="preserve">Office of </w:t>
      </w:r>
      <w:r w:rsidR="00363FD3">
        <w:rPr>
          <w:b/>
        </w:rPr>
        <w:t xml:space="preserve">the </w:t>
      </w:r>
      <w:r w:rsidR="00402376">
        <w:rPr>
          <w:b/>
        </w:rPr>
        <w:t>Registrar</w:t>
      </w:r>
    </w:p>
    <w:p w:rsidR="00DA409D" w:rsidRPr="006B60D7" w:rsidRDefault="00DA409D" w:rsidP="006B60D7">
      <w:pPr>
        <w:jc w:val="both"/>
        <w:rPr>
          <w:b/>
        </w:rPr>
      </w:pPr>
      <w:r>
        <w:rPr>
          <w:b/>
        </w:rPr>
        <w:t xml:space="preserve">Division:  </w:t>
      </w:r>
      <w:r w:rsidR="00402376">
        <w:rPr>
          <w:b/>
        </w:rPr>
        <w:t>Academic Affairs</w:t>
      </w:r>
    </w:p>
    <w:p w:rsidR="00C36F3B" w:rsidRDefault="001E1F10" w:rsidP="006B60D7">
      <w:pPr>
        <w:jc w:val="both"/>
      </w:pPr>
      <w:r>
        <w:pict>
          <v:rect id="_x0000_i1027" style="width:0;height:1.5pt" o:hralign="center" o:hrstd="t" o:hr="t" fillcolor="#aca899" stroked="f"/>
        </w:pict>
      </w:r>
    </w:p>
    <w:p w:rsidR="00C36F3B" w:rsidRDefault="00C36F3B" w:rsidP="006B60D7">
      <w:pPr>
        <w:jc w:val="both"/>
      </w:pPr>
    </w:p>
    <w:p w:rsidR="00DB5457" w:rsidRDefault="006B60D7" w:rsidP="00C36F3B">
      <w:pPr>
        <w:numPr>
          <w:ilvl w:val="0"/>
          <w:numId w:val="1"/>
        </w:numPr>
        <w:jc w:val="both"/>
        <w:rPr>
          <w:b/>
        </w:rPr>
      </w:pPr>
      <w:r w:rsidRPr="00C36F3B">
        <w:rPr>
          <w:b/>
        </w:rPr>
        <w:t>PURPOSE/OBJECTIVE</w:t>
      </w:r>
    </w:p>
    <w:p w:rsidR="00513862" w:rsidRPr="00C36F3B" w:rsidRDefault="00513862" w:rsidP="00513862">
      <w:pPr>
        <w:ind w:left="780"/>
        <w:jc w:val="both"/>
        <w:rPr>
          <w:b/>
        </w:rPr>
      </w:pPr>
    </w:p>
    <w:p w:rsidR="00C36F3B" w:rsidRDefault="00363FD3" w:rsidP="0052758A">
      <w:pPr>
        <w:ind w:left="720"/>
        <w:jc w:val="both"/>
      </w:pPr>
      <w:r>
        <w:t>T</w:t>
      </w:r>
      <w:r w:rsidR="00D410BB">
        <w:t xml:space="preserve">o </w:t>
      </w:r>
      <w:r>
        <w:t xml:space="preserve">establish </w:t>
      </w:r>
      <w:r w:rsidR="00402376">
        <w:t xml:space="preserve">guidelines by which a student can withdraw from </w:t>
      </w:r>
      <w:proofErr w:type="gramStart"/>
      <w:r w:rsidR="00402376">
        <w:t>class</w:t>
      </w:r>
      <w:r w:rsidR="00F556AC">
        <w:t>(</w:t>
      </w:r>
      <w:proofErr w:type="spellStart"/>
      <w:proofErr w:type="gramEnd"/>
      <w:r w:rsidR="00402376">
        <w:t>es</w:t>
      </w:r>
      <w:proofErr w:type="spellEnd"/>
      <w:r w:rsidR="00F556AC">
        <w:t>)</w:t>
      </w:r>
      <w:r w:rsidR="00402376">
        <w:t xml:space="preserve"> and/or </w:t>
      </w:r>
      <w:r w:rsidR="00F556AC">
        <w:t xml:space="preserve">from </w:t>
      </w:r>
      <w:r w:rsidR="00402376">
        <w:t>the University.</w:t>
      </w:r>
    </w:p>
    <w:p w:rsidR="00D410BB" w:rsidRDefault="00D410BB" w:rsidP="0052758A">
      <w:pPr>
        <w:ind w:left="720"/>
        <w:jc w:val="both"/>
      </w:pPr>
    </w:p>
    <w:p w:rsidR="00C36F3B" w:rsidRPr="00460F7F" w:rsidRDefault="00C36F3B" w:rsidP="0052758A">
      <w:pPr>
        <w:numPr>
          <w:ilvl w:val="0"/>
          <w:numId w:val="1"/>
        </w:numPr>
        <w:jc w:val="both"/>
        <w:rPr>
          <w:b/>
        </w:rPr>
      </w:pPr>
      <w:r w:rsidRPr="00C36F3B">
        <w:rPr>
          <w:b/>
        </w:rPr>
        <w:t xml:space="preserve">STATEMENT OF POLICIES </w:t>
      </w:r>
    </w:p>
    <w:p w:rsidR="00E014D5" w:rsidRDefault="001869A9" w:rsidP="0052758A">
      <w:pPr>
        <w:pStyle w:val="ListParagraph"/>
        <w:numPr>
          <w:ilvl w:val="0"/>
          <w:numId w:val="9"/>
        </w:numPr>
        <w:spacing w:before="100" w:beforeAutospacing="1" w:after="240"/>
        <w:jc w:val="both"/>
      </w:pPr>
      <w:r>
        <w:t xml:space="preserve">Students may drop or withdraw from one or more courses with a grade of “W” based on the date published in the </w:t>
      </w:r>
      <w:hyperlink r:id="rId8" w:history="1">
        <w:r w:rsidRPr="00E25A3D">
          <w:rPr>
            <w:rStyle w:val="Hyperlink"/>
          </w:rPr>
          <w:t>University’s Academic Calendar</w:t>
        </w:r>
      </w:hyperlink>
      <w:hyperlink r:id="rId9" w:history="1"/>
      <w:r>
        <w:t xml:space="preserve">.  It is the student’s responsibility to </w:t>
      </w:r>
      <w:r w:rsidR="007F360E">
        <w:t xml:space="preserve">secure approval from the appropriate academic advisor, </w:t>
      </w:r>
      <w:r>
        <w:t xml:space="preserve">complete a Schedule Change Form and submit </w:t>
      </w:r>
      <w:r w:rsidR="0052758A">
        <w:t xml:space="preserve">the form </w:t>
      </w:r>
      <w:r w:rsidR="00E25A3D">
        <w:t>to the Offic</w:t>
      </w:r>
      <w:r w:rsidR="00A146C3">
        <w:t>e of the Registrar.</w:t>
      </w:r>
    </w:p>
    <w:p w:rsidR="00774F41" w:rsidRDefault="00774F41" w:rsidP="0052758A">
      <w:pPr>
        <w:pStyle w:val="ListParagraph"/>
        <w:spacing w:before="100" w:beforeAutospacing="1" w:after="240"/>
        <w:ind w:left="1080"/>
        <w:jc w:val="both"/>
      </w:pPr>
    </w:p>
    <w:p w:rsidR="00A146C3" w:rsidRDefault="00A146C3" w:rsidP="0052758A">
      <w:pPr>
        <w:pStyle w:val="ListParagraph"/>
        <w:numPr>
          <w:ilvl w:val="0"/>
          <w:numId w:val="9"/>
        </w:numPr>
        <w:spacing w:before="100" w:beforeAutospacing="1" w:after="240"/>
        <w:jc w:val="both"/>
      </w:pPr>
      <w:r>
        <w:t xml:space="preserve">A student who drops all courses must also withdraw from the University. </w:t>
      </w:r>
      <w:r w:rsidR="00774F41">
        <w:t xml:space="preserve">The deadline for withdrawing with a grade of “W” is usually four weeks after mid-semester.  Students may not drop courses or withdraw from the University after the </w:t>
      </w:r>
      <w:r w:rsidR="0052758A">
        <w:t>d</w:t>
      </w:r>
      <w:r w:rsidR="00774F41">
        <w:t>ate</w:t>
      </w:r>
      <w:r w:rsidR="0052758A">
        <w:t xml:space="preserve"> published in University’s Academic Calendar.  </w:t>
      </w:r>
      <w:r w:rsidR="00774F41">
        <w:t xml:space="preserve">However, students with extenuating circumstances may </w:t>
      </w:r>
      <w:r w:rsidR="00324A13">
        <w:t xml:space="preserve">seek an administrative withdrawal (AW) by </w:t>
      </w:r>
      <w:r w:rsidR="00774F41">
        <w:t>submit</w:t>
      </w:r>
      <w:r w:rsidR="00324A13">
        <w:t>ting</w:t>
      </w:r>
      <w:r w:rsidR="00774F41">
        <w:t xml:space="preserve"> a letter of appeal and documentation </w:t>
      </w:r>
      <w:r w:rsidR="0052758A">
        <w:t xml:space="preserve">to the </w:t>
      </w:r>
      <w:r w:rsidR="00324A13">
        <w:t xml:space="preserve">University </w:t>
      </w:r>
      <w:r w:rsidR="0052758A">
        <w:t xml:space="preserve">Registrar to substantiate the case of withdrawing after the published date.  </w:t>
      </w:r>
      <w:r w:rsidR="00F556AC">
        <w:t>To drop a course, t</w:t>
      </w:r>
      <w:r w:rsidR="0052758A">
        <w:t xml:space="preserve">he student must show direct cause for the </w:t>
      </w:r>
      <w:r w:rsidR="00324A13">
        <w:t>extenuating circumstances</w:t>
      </w:r>
      <w:r w:rsidR="0052758A">
        <w:t>, show that he/she was passing the course</w:t>
      </w:r>
      <w:r w:rsidR="00F556AC">
        <w:t>(</w:t>
      </w:r>
      <w:r w:rsidR="0052758A">
        <w:t>s</w:t>
      </w:r>
      <w:r w:rsidR="00F556AC">
        <w:t>)</w:t>
      </w:r>
      <w:r w:rsidR="0052758A">
        <w:t xml:space="preserve"> immediately prior</w:t>
      </w:r>
      <w:r w:rsidR="00F556AC">
        <w:t xml:space="preserve"> to </w:t>
      </w:r>
      <w:r w:rsidR="0052758A">
        <w:t>the hardship, and must appeal imm</w:t>
      </w:r>
      <w:r w:rsidR="00696713">
        <w:t xml:space="preserve">ediately after the hardship. </w:t>
      </w:r>
      <w:r w:rsidR="00324A13">
        <w:t xml:space="preserve">  The Appeals Committee will review the </w:t>
      </w:r>
      <w:r w:rsidR="003414CC">
        <w:t xml:space="preserve">documentation and recommend </w:t>
      </w:r>
      <w:r w:rsidR="00324A13">
        <w:t xml:space="preserve">approval or denial.  </w:t>
      </w:r>
      <w:r w:rsidR="003414CC">
        <w:t>If approval is granted, t</w:t>
      </w:r>
      <w:r w:rsidR="0052758A">
        <w:t xml:space="preserve">he grade of “W” </w:t>
      </w:r>
      <w:r w:rsidR="003414CC">
        <w:t>will be assigned to all courses.</w:t>
      </w:r>
      <w:r w:rsidR="0052758A">
        <w:t xml:space="preserve">  </w:t>
      </w:r>
      <w:r w:rsidR="000C736A">
        <w:t>The grade of “F”</w:t>
      </w:r>
      <w:r w:rsidR="007C0EF0">
        <w:t xml:space="preserve"> will be assigned to the courses of </w:t>
      </w:r>
      <w:r w:rsidR="000C736A">
        <w:t>s</w:t>
      </w:r>
      <w:r w:rsidR="00696713">
        <w:t xml:space="preserve">tudents who do not </w:t>
      </w:r>
      <w:r w:rsidR="003414CC">
        <w:t xml:space="preserve">officially </w:t>
      </w:r>
      <w:r w:rsidR="00696713">
        <w:t xml:space="preserve">drop or withdraw </w:t>
      </w:r>
      <w:r w:rsidR="000C736A">
        <w:t xml:space="preserve">from the University and </w:t>
      </w:r>
      <w:r w:rsidR="00F556AC">
        <w:t>the</w:t>
      </w:r>
      <w:r w:rsidR="000C736A">
        <w:t xml:space="preserve"> student will forfeit the right to a statement of honorable dismissal.  </w:t>
      </w:r>
      <w:r w:rsidR="00FD46ED">
        <w:t>Dissatisfaction with an anticipated grade or a decision to change a major is not cause for an administrative withdrawal.  An instructor cannot change a grade to “W”.</w:t>
      </w:r>
    </w:p>
    <w:p w:rsidR="00FD46ED" w:rsidRDefault="00FD46ED" w:rsidP="00FD46ED">
      <w:pPr>
        <w:pStyle w:val="ListParagraph"/>
        <w:spacing w:before="100" w:beforeAutospacing="1" w:after="240"/>
        <w:ind w:left="1080"/>
        <w:jc w:val="both"/>
      </w:pPr>
    </w:p>
    <w:p w:rsidR="00FD46ED" w:rsidRDefault="00FD46ED" w:rsidP="0052758A">
      <w:pPr>
        <w:pStyle w:val="ListParagraph"/>
        <w:numPr>
          <w:ilvl w:val="0"/>
          <w:numId w:val="9"/>
        </w:numPr>
        <w:spacing w:before="100" w:beforeAutospacing="1" w:after="240"/>
        <w:jc w:val="both"/>
      </w:pPr>
      <w:r>
        <w:t>The statute of limitations for a written appeal to be submitted to the Office of the Registrar is 120 days after the end of the semester/session in which the grade is in question.</w:t>
      </w:r>
    </w:p>
    <w:p w:rsidR="00F556AC" w:rsidRDefault="00F556AC" w:rsidP="00F556AC">
      <w:pPr>
        <w:pStyle w:val="ListParagraph"/>
      </w:pPr>
    </w:p>
    <w:p w:rsidR="00FE7B7E" w:rsidRDefault="00FE7B7E" w:rsidP="00FE7B7E">
      <w:pPr>
        <w:pStyle w:val="ListParagraph"/>
      </w:pPr>
    </w:p>
    <w:p w:rsidR="00FE7B7E" w:rsidRDefault="00FE7B7E" w:rsidP="0052758A">
      <w:pPr>
        <w:pStyle w:val="ListParagraph"/>
        <w:numPr>
          <w:ilvl w:val="0"/>
          <w:numId w:val="9"/>
        </w:numPr>
        <w:spacing w:before="100" w:beforeAutospacing="1" w:after="240"/>
        <w:jc w:val="both"/>
      </w:pPr>
      <w:r>
        <w:lastRenderedPageBreak/>
        <w:t>Definitions</w:t>
      </w:r>
    </w:p>
    <w:p w:rsidR="00B125AC" w:rsidRDefault="00B125AC" w:rsidP="00B125AC">
      <w:pPr>
        <w:pStyle w:val="ListParagraph"/>
        <w:numPr>
          <w:ilvl w:val="0"/>
          <w:numId w:val="11"/>
        </w:numPr>
        <w:spacing w:before="100" w:beforeAutospacing="1" w:after="240"/>
        <w:contextualSpacing w:val="0"/>
        <w:jc w:val="both"/>
      </w:pPr>
      <w:r>
        <w:rPr>
          <w:b/>
          <w:bCs/>
        </w:rPr>
        <w:t>Drop a class</w:t>
      </w:r>
      <w:r>
        <w:t xml:space="preserve"> – a student is dropped from a course prior to the 7</w:t>
      </w:r>
      <w:r>
        <w:rPr>
          <w:vertAlign w:val="superscript"/>
        </w:rPr>
        <w:t>th</w:t>
      </w:r>
      <w:r w:rsidR="00427673">
        <w:rPr>
          <w:vertAlign w:val="superscript"/>
        </w:rPr>
        <w:t xml:space="preserve"> </w:t>
      </w:r>
      <w:r w:rsidR="00427673">
        <w:t xml:space="preserve">class day for summer sessions or the </w:t>
      </w:r>
      <w:r>
        <w:t>14</w:t>
      </w:r>
      <w:r>
        <w:rPr>
          <w:vertAlign w:val="superscript"/>
        </w:rPr>
        <w:t>th</w:t>
      </w:r>
      <w:r>
        <w:t xml:space="preserve"> class day</w:t>
      </w:r>
      <w:r w:rsidR="00427673">
        <w:t xml:space="preserve"> for fall and spring semesters </w:t>
      </w:r>
      <w:r>
        <w:t>and course is removed from class schedule.</w:t>
      </w:r>
    </w:p>
    <w:p w:rsidR="00B125AC" w:rsidRDefault="00B125AC" w:rsidP="00B125AC">
      <w:pPr>
        <w:pStyle w:val="ListParagraph"/>
        <w:numPr>
          <w:ilvl w:val="0"/>
          <w:numId w:val="11"/>
        </w:numPr>
        <w:spacing w:before="100" w:beforeAutospacing="1" w:after="240"/>
        <w:contextualSpacing w:val="0"/>
        <w:jc w:val="both"/>
      </w:pPr>
      <w:r>
        <w:rPr>
          <w:b/>
          <w:bCs/>
        </w:rPr>
        <w:t xml:space="preserve">Course Withdrawal </w:t>
      </w:r>
      <w:r>
        <w:t>– a student is withdrawn from a course(s) after the 7</w:t>
      </w:r>
      <w:r>
        <w:rPr>
          <w:vertAlign w:val="superscript"/>
        </w:rPr>
        <w:t>th</w:t>
      </w:r>
      <w:r>
        <w:t xml:space="preserve"> </w:t>
      </w:r>
      <w:r w:rsidR="00427673">
        <w:t xml:space="preserve">(summer sessions) </w:t>
      </w:r>
      <w:r>
        <w:t>or 14</w:t>
      </w:r>
      <w:r>
        <w:rPr>
          <w:vertAlign w:val="superscript"/>
        </w:rPr>
        <w:t>th</w:t>
      </w:r>
      <w:r>
        <w:t xml:space="preserve"> </w:t>
      </w:r>
      <w:r w:rsidR="00427673">
        <w:t xml:space="preserve">(fall and spring semesters) </w:t>
      </w:r>
      <w:r>
        <w:t>class day and awarded a withdrawal grade of “W” which remains on the student’s permanent academic record.</w:t>
      </w:r>
    </w:p>
    <w:p w:rsidR="00B125AC" w:rsidRPr="006A77BD" w:rsidRDefault="00B125AC" w:rsidP="00B125AC">
      <w:pPr>
        <w:pStyle w:val="ListParagraph"/>
        <w:numPr>
          <w:ilvl w:val="0"/>
          <w:numId w:val="11"/>
        </w:numPr>
        <w:spacing w:before="100" w:beforeAutospacing="1" w:after="240"/>
        <w:contextualSpacing w:val="0"/>
        <w:jc w:val="both"/>
      </w:pPr>
      <w:r>
        <w:rPr>
          <w:b/>
          <w:bCs/>
        </w:rPr>
        <w:t xml:space="preserve">Administrative Withdrawal </w:t>
      </w:r>
      <w:r>
        <w:t xml:space="preserve">– a student has submitted an appeal </w:t>
      </w:r>
      <w:r w:rsidR="006A77BD">
        <w:t xml:space="preserve">to withdraw from the University </w:t>
      </w:r>
      <w:r>
        <w:t>after the published date</w:t>
      </w:r>
      <w:r w:rsidR="009D3424">
        <w:t>;</w:t>
      </w:r>
      <w:r>
        <w:t xml:space="preserve"> student is granted approval to withdraw</w:t>
      </w:r>
      <w:r w:rsidR="009D3424">
        <w:t>;</w:t>
      </w:r>
      <w:r>
        <w:t xml:space="preserve"> </w:t>
      </w:r>
      <w:r w:rsidR="006A77BD">
        <w:t>and</w:t>
      </w:r>
      <w:r w:rsidR="009D3424">
        <w:t>,</w:t>
      </w:r>
      <w:r w:rsidR="006A77BD">
        <w:t xml:space="preserve"> </w:t>
      </w:r>
      <w:r w:rsidRPr="006A77BD">
        <w:t>a grade of “W”</w:t>
      </w:r>
      <w:r w:rsidR="006A77BD" w:rsidRPr="006A77BD">
        <w:t xml:space="preserve"> is</w:t>
      </w:r>
      <w:r w:rsidRPr="006A77BD">
        <w:t xml:space="preserve"> awarded in all courses.</w:t>
      </w:r>
    </w:p>
    <w:p w:rsidR="00B125AC" w:rsidRDefault="00B125AC" w:rsidP="00B125AC">
      <w:pPr>
        <w:pStyle w:val="ListParagraph"/>
        <w:numPr>
          <w:ilvl w:val="0"/>
          <w:numId w:val="11"/>
        </w:numPr>
        <w:spacing w:before="100" w:beforeAutospacing="1" w:after="240"/>
        <w:contextualSpacing w:val="0"/>
        <w:jc w:val="both"/>
      </w:pPr>
      <w:r>
        <w:rPr>
          <w:b/>
          <w:bCs/>
        </w:rPr>
        <w:t>Extenuating circumstances</w:t>
      </w:r>
      <w:r>
        <w:t xml:space="preserve"> – May include but not limited to:  major medical emergencies, legal issues, extended illness, or </w:t>
      </w:r>
      <w:r w:rsidR="009D3424">
        <w:t>an</w:t>
      </w:r>
      <w:r>
        <w:t xml:space="preserve"> event that incapacitates the student</w:t>
      </w:r>
      <w:r w:rsidR="009D3424">
        <w:t>.</w:t>
      </w:r>
    </w:p>
    <w:p w:rsidR="006D16E3" w:rsidRPr="00EC73C0" w:rsidRDefault="006D16E3" w:rsidP="006D16E3">
      <w:pPr>
        <w:autoSpaceDE w:val="0"/>
        <w:autoSpaceDN w:val="0"/>
        <w:adjustRightInd w:val="0"/>
        <w:jc w:val="both"/>
        <w:rPr>
          <w:color w:val="000000"/>
        </w:rPr>
      </w:pPr>
    </w:p>
    <w:p w:rsidR="00E50AA5" w:rsidRDefault="00E50AA5" w:rsidP="00E50AA5">
      <w:pPr>
        <w:spacing w:before="100" w:beforeAutospacing="1" w:after="100" w:afterAutospacing="1"/>
        <w:ind w:left="2160"/>
      </w:pPr>
    </w:p>
    <w:p w:rsidR="00E50AA5" w:rsidRDefault="00E50AA5" w:rsidP="00E50AA5">
      <w:pPr>
        <w:spacing w:before="100" w:beforeAutospacing="1" w:after="100" w:afterAutospacing="1"/>
        <w:ind w:left="2160"/>
      </w:pPr>
    </w:p>
    <w:sectPr w:rsidR="00E50AA5" w:rsidSect="00E11180">
      <w:headerReference w:type="default" r:id="rId10"/>
      <w:pgSz w:w="12240" w:h="15840" w:code="1"/>
      <w:pgMar w:top="144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6ED" w:rsidRDefault="003936ED">
      <w:r>
        <w:separator/>
      </w:r>
    </w:p>
  </w:endnote>
  <w:endnote w:type="continuationSeparator" w:id="0">
    <w:p w:rsidR="003936ED" w:rsidRDefault="00393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6ED" w:rsidRDefault="003936ED">
      <w:r>
        <w:separator/>
      </w:r>
    </w:p>
  </w:footnote>
  <w:footnote w:type="continuationSeparator" w:id="0">
    <w:p w:rsidR="003936ED" w:rsidRDefault="003936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862" w:rsidRDefault="00513862" w:rsidP="000B353B">
    <w:pPr>
      <w:pStyle w:val="Header"/>
      <w:rPr>
        <w:rStyle w:val="PageNumber"/>
        <w:b/>
      </w:rPr>
    </w:pPr>
    <w:r w:rsidRPr="00213FDB">
      <w:rPr>
        <w:b/>
        <w:sz w:val="28"/>
        <w:szCs w:val="28"/>
      </w:rPr>
      <w:t>Policy #</w:t>
    </w:r>
    <w:r>
      <w:tab/>
    </w:r>
    <w:r>
      <w:tab/>
    </w:r>
    <w:r w:rsidRPr="00213FDB">
      <w:rPr>
        <w:b/>
      </w:rPr>
      <w:t xml:space="preserve">Page </w:t>
    </w:r>
    <w:r w:rsidR="001E1F10" w:rsidRPr="00213FDB">
      <w:rPr>
        <w:rStyle w:val="PageNumber"/>
        <w:b/>
      </w:rPr>
      <w:fldChar w:fldCharType="begin"/>
    </w:r>
    <w:r w:rsidRPr="00213FDB">
      <w:rPr>
        <w:rStyle w:val="PageNumber"/>
        <w:b/>
      </w:rPr>
      <w:instrText xml:space="preserve"> PAGE </w:instrText>
    </w:r>
    <w:r w:rsidR="001E1F10" w:rsidRPr="00213FDB">
      <w:rPr>
        <w:rStyle w:val="PageNumber"/>
        <w:b/>
      </w:rPr>
      <w:fldChar w:fldCharType="separate"/>
    </w:r>
    <w:r w:rsidR="0035162F">
      <w:rPr>
        <w:rStyle w:val="PageNumber"/>
        <w:b/>
        <w:noProof/>
      </w:rPr>
      <w:t>2</w:t>
    </w:r>
    <w:r w:rsidR="001E1F10" w:rsidRPr="00213FDB">
      <w:rPr>
        <w:rStyle w:val="PageNumber"/>
        <w:b/>
      </w:rPr>
      <w:fldChar w:fldCharType="end"/>
    </w:r>
  </w:p>
  <w:p w:rsidR="00513862" w:rsidRDefault="00FE7B7E">
    <w:pPr>
      <w:pStyle w:val="Header"/>
      <w:rPr>
        <w:rStyle w:val="PageNumber"/>
        <w:b/>
      </w:rPr>
    </w:pPr>
    <w:r>
      <w:rPr>
        <w:rStyle w:val="PageNumber"/>
        <w:b/>
      </w:rPr>
      <w:t>ACADEMIC DROP AND WITHDRAWAL POLICY</w:t>
    </w:r>
  </w:p>
  <w:p w:rsidR="00513862" w:rsidRDefault="001E1F10">
    <w:pPr>
      <w:pStyle w:val="Header"/>
    </w:pPr>
    <w:r>
      <w:pict>
        <v:rect id="_x0000_i1028" style="width:0;height:1.5pt" o:hralign="center" o:hrstd="t" o:hr="t" fillcolor="#aca899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6741"/>
    <w:multiLevelType w:val="hybridMultilevel"/>
    <w:tmpl w:val="777EBBC8"/>
    <w:lvl w:ilvl="0" w:tplc="347E520C">
      <w:start w:val="1"/>
      <w:numFmt w:val="upperLetter"/>
      <w:lvlText w:val="%1."/>
      <w:lvlJc w:val="left"/>
      <w:pPr>
        <w:tabs>
          <w:tab w:val="num" w:pos="706"/>
        </w:tabs>
        <w:ind w:left="1008" w:hanging="360"/>
      </w:pPr>
      <w:rPr>
        <w:rFonts w:hint="default"/>
      </w:rPr>
    </w:lvl>
    <w:lvl w:ilvl="1" w:tplc="4B4E6988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6A7A44"/>
    <w:multiLevelType w:val="multilevel"/>
    <w:tmpl w:val="3CA2A5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6754465"/>
    <w:multiLevelType w:val="multilevel"/>
    <w:tmpl w:val="3CA2A5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57879AC"/>
    <w:multiLevelType w:val="hybridMultilevel"/>
    <w:tmpl w:val="73643A8C"/>
    <w:lvl w:ilvl="0" w:tplc="007002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BF4637"/>
    <w:multiLevelType w:val="hybridMultilevel"/>
    <w:tmpl w:val="55783104"/>
    <w:lvl w:ilvl="0" w:tplc="B96016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FDA2A75"/>
    <w:multiLevelType w:val="hybridMultilevel"/>
    <w:tmpl w:val="7360BB7A"/>
    <w:lvl w:ilvl="0" w:tplc="0A800D96">
      <w:start w:val="1"/>
      <w:numFmt w:val="upperLetter"/>
      <w:lvlText w:val="%1."/>
      <w:lvlJc w:val="left"/>
      <w:pPr>
        <w:ind w:left="1425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545752B1"/>
    <w:multiLevelType w:val="hybridMultilevel"/>
    <w:tmpl w:val="360254D2"/>
    <w:lvl w:ilvl="0" w:tplc="311C7668">
      <w:start w:val="1"/>
      <w:numFmt w:val="upperRoman"/>
      <w:lvlText w:val="%1."/>
      <w:lvlJc w:val="left"/>
      <w:pPr>
        <w:tabs>
          <w:tab w:val="num" w:pos="720"/>
        </w:tabs>
        <w:ind w:left="7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B53B0"/>
    <w:multiLevelType w:val="hybridMultilevel"/>
    <w:tmpl w:val="3BAC8522"/>
    <w:lvl w:ilvl="0" w:tplc="28A6B340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6DA64148"/>
    <w:multiLevelType w:val="hybridMultilevel"/>
    <w:tmpl w:val="3078B038"/>
    <w:lvl w:ilvl="0" w:tplc="E9B67F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A584772"/>
    <w:multiLevelType w:val="hybridMultilevel"/>
    <w:tmpl w:val="A27CE6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DB5457"/>
    <w:rsid w:val="00024169"/>
    <w:rsid w:val="000B353B"/>
    <w:rsid w:val="000C736A"/>
    <w:rsid w:val="000F7EE8"/>
    <w:rsid w:val="001529FB"/>
    <w:rsid w:val="0015651F"/>
    <w:rsid w:val="0016403F"/>
    <w:rsid w:val="001662C5"/>
    <w:rsid w:val="00176DC7"/>
    <w:rsid w:val="001869A9"/>
    <w:rsid w:val="001D46E7"/>
    <w:rsid w:val="001E1F10"/>
    <w:rsid w:val="002005FD"/>
    <w:rsid w:val="0029415C"/>
    <w:rsid w:val="002A11A6"/>
    <w:rsid w:val="002E7D1D"/>
    <w:rsid w:val="00324A13"/>
    <w:rsid w:val="00327202"/>
    <w:rsid w:val="00334A8C"/>
    <w:rsid w:val="003414CC"/>
    <w:rsid w:val="0035162F"/>
    <w:rsid w:val="00363FD3"/>
    <w:rsid w:val="00374E8F"/>
    <w:rsid w:val="003936ED"/>
    <w:rsid w:val="003A7A9C"/>
    <w:rsid w:val="003B2C1B"/>
    <w:rsid w:val="00402376"/>
    <w:rsid w:val="00427673"/>
    <w:rsid w:val="00460F7F"/>
    <w:rsid w:val="00467BAE"/>
    <w:rsid w:val="00474B14"/>
    <w:rsid w:val="004A0328"/>
    <w:rsid w:val="004A4455"/>
    <w:rsid w:val="004B4DEE"/>
    <w:rsid w:val="004D4745"/>
    <w:rsid w:val="00513862"/>
    <w:rsid w:val="0052758A"/>
    <w:rsid w:val="0056360F"/>
    <w:rsid w:val="00565126"/>
    <w:rsid w:val="00581973"/>
    <w:rsid w:val="00591A89"/>
    <w:rsid w:val="00696713"/>
    <w:rsid w:val="006A77BD"/>
    <w:rsid w:val="006B15EB"/>
    <w:rsid w:val="006B60D7"/>
    <w:rsid w:val="006D16E3"/>
    <w:rsid w:val="00722EA2"/>
    <w:rsid w:val="00743676"/>
    <w:rsid w:val="00750546"/>
    <w:rsid w:val="0076233E"/>
    <w:rsid w:val="00774F41"/>
    <w:rsid w:val="007C0EF0"/>
    <w:rsid w:val="007F360E"/>
    <w:rsid w:val="008552B6"/>
    <w:rsid w:val="00886159"/>
    <w:rsid w:val="008A3533"/>
    <w:rsid w:val="00927E1D"/>
    <w:rsid w:val="0095643D"/>
    <w:rsid w:val="009D3424"/>
    <w:rsid w:val="00A146C3"/>
    <w:rsid w:val="00B125AC"/>
    <w:rsid w:val="00B25ABC"/>
    <w:rsid w:val="00B5487B"/>
    <w:rsid w:val="00B919D8"/>
    <w:rsid w:val="00BC0796"/>
    <w:rsid w:val="00BD3801"/>
    <w:rsid w:val="00C36F3B"/>
    <w:rsid w:val="00D410BB"/>
    <w:rsid w:val="00D46872"/>
    <w:rsid w:val="00D62BA1"/>
    <w:rsid w:val="00D950BC"/>
    <w:rsid w:val="00DA409D"/>
    <w:rsid w:val="00DB5457"/>
    <w:rsid w:val="00E014D5"/>
    <w:rsid w:val="00E06FE4"/>
    <w:rsid w:val="00E11180"/>
    <w:rsid w:val="00E14DDA"/>
    <w:rsid w:val="00E25A3D"/>
    <w:rsid w:val="00E33BE3"/>
    <w:rsid w:val="00E419AC"/>
    <w:rsid w:val="00E50AA5"/>
    <w:rsid w:val="00EC3BB3"/>
    <w:rsid w:val="00F0175C"/>
    <w:rsid w:val="00F41DDC"/>
    <w:rsid w:val="00F556AC"/>
    <w:rsid w:val="00F84ECD"/>
    <w:rsid w:val="00F91664"/>
    <w:rsid w:val="00FC3BB3"/>
    <w:rsid w:val="00FD46ED"/>
    <w:rsid w:val="00FD6D8E"/>
    <w:rsid w:val="00FE33E6"/>
    <w:rsid w:val="00FE7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3BE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861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35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35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353B"/>
  </w:style>
  <w:style w:type="paragraph" w:styleId="ListParagraph">
    <w:name w:val="List Paragraph"/>
    <w:basedOn w:val="Normal"/>
    <w:uiPriority w:val="34"/>
    <w:qFormat/>
    <w:rsid w:val="00E50AA5"/>
    <w:pPr>
      <w:ind w:left="720"/>
      <w:contextualSpacing/>
    </w:pPr>
  </w:style>
  <w:style w:type="character" w:styleId="Hyperlink">
    <w:name w:val="Hyperlink"/>
    <w:basedOn w:val="DefaultParagraphFont"/>
    <w:rsid w:val="001869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.edu/academics/calenda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ram.edu/academics/calend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#                     </vt:lpstr>
    </vt:vector>
  </TitlesOfParts>
  <Company>Grambling State University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#                     </dc:title>
  <dc:subject/>
  <dc:creator>Carmen J. Copes</dc:creator>
  <cp:keywords/>
  <dc:description/>
  <cp:lastModifiedBy>Ashley Ridgeway-Washington</cp:lastModifiedBy>
  <cp:revision>2</cp:revision>
  <cp:lastPrinted>2011-10-13T15:53:00Z</cp:lastPrinted>
  <dcterms:created xsi:type="dcterms:W3CDTF">2011-11-01T19:32:00Z</dcterms:created>
  <dcterms:modified xsi:type="dcterms:W3CDTF">2011-11-01T19:32:00Z</dcterms:modified>
</cp:coreProperties>
</file>