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45" w:rsidRDefault="00205187" w:rsidP="00AC4A45">
      <w:pPr>
        <w:pBdr>
          <w:bottom w:val="single" w:sz="12" w:space="1" w:color="auto"/>
        </w:pBdr>
        <w:jc w:val="center"/>
        <w:rPr>
          <w:b/>
          <w:sz w:val="20"/>
          <w:szCs w:val="20"/>
        </w:rPr>
      </w:pPr>
      <w:bookmarkStart w:id="0" w:name="OLE_LINK1"/>
      <w:bookmarkStart w:id="1" w:name="OLE_LINK2"/>
      <w:bookmarkStart w:id="2" w:name="OLE_LINK3"/>
      <w:bookmarkStart w:id="3" w:name="OLE_LINK4"/>
      <w:bookmarkStart w:id="4" w:name="OLE_LINK5"/>
      <w:bookmarkStart w:id="5" w:name="OLE_LINK6"/>
      <w:r>
        <w:rPr>
          <w:noProof/>
        </w:rPr>
        <w:drawing>
          <wp:inline distT="0" distB="0" distL="0" distR="0">
            <wp:extent cx="2114550" cy="1828800"/>
            <wp:effectExtent l="19050" t="0" r="0" b="0"/>
            <wp:docPr id="1" name="Picture 1" descr="GSUSIGNATUR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USIGNATURE copy"/>
                    <pic:cNvPicPr>
                      <a:picLocks noChangeAspect="1" noChangeArrowheads="1"/>
                    </pic:cNvPicPr>
                  </pic:nvPicPr>
                  <pic:blipFill>
                    <a:blip r:embed="rId7" cstate="print"/>
                    <a:srcRect/>
                    <a:stretch>
                      <a:fillRect/>
                    </a:stretch>
                  </pic:blipFill>
                  <pic:spPr bwMode="auto">
                    <a:xfrm>
                      <a:off x="0" y="0"/>
                      <a:ext cx="2114550" cy="1828800"/>
                    </a:xfrm>
                    <a:prstGeom prst="rect">
                      <a:avLst/>
                    </a:prstGeom>
                    <a:noFill/>
                    <a:ln w="9525">
                      <a:noFill/>
                      <a:miter lim="800000"/>
                      <a:headEnd/>
                      <a:tailEnd/>
                    </a:ln>
                  </pic:spPr>
                </pic:pic>
              </a:graphicData>
            </a:graphic>
          </wp:inline>
        </w:drawing>
      </w:r>
      <w:bookmarkEnd w:id="2"/>
      <w:bookmarkEnd w:id="3"/>
      <w:bookmarkEnd w:id="4"/>
      <w:bookmarkEnd w:id="5"/>
      <w:r w:rsidR="00AC4A45">
        <w:br/>
      </w:r>
      <w:r w:rsidR="00AC4A45">
        <w:rPr>
          <w:b/>
          <w:sz w:val="20"/>
          <w:szCs w:val="20"/>
        </w:rPr>
        <w:t>OFFICE OF HUMAN RESOURCES</w:t>
      </w:r>
    </w:p>
    <w:bookmarkEnd w:id="0"/>
    <w:bookmarkEnd w:id="1"/>
    <w:p w:rsidR="00205187" w:rsidRDefault="00205187" w:rsidP="00205187">
      <w:pPr>
        <w:pStyle w:val="NormalWeb"/>
        <w:shd w:val="clear" w:color="auto" w:fill="F2F2E6"/>
        <w:rPr>
          <w:rFonts w:ascii="Verdana" w:hAnsi="Verdana"/>
          <w:sz w:val="18"/>
          <w:szCs w:val="18"/>
        </w:rPr>
      </w:pPr>
      <w:r>
        <w:rPr>
          <w:rStyle w:val="Strong"/>
          <w:rFonts w:ascii="Verdana" w:hAnsi="Verdana"/>
          <w:sz w:val="18"/>
          <w:szCs w:val="18"/>
        </w:rPr>
        <w:t>On December 10, 1952,</w:t>
      </w:r>
      <w:r>
        <w:rPr>
          <w:rFonts w:ascii="Verdana" w:hAnsi="Verdana"/>
          <w:sz w:val="18"/>
          <w:szCs w:val="18"/>
        </w:rPr>
        <w:t xml:space="preserve"> the State of Louisiana entered into a Section 218 Agreement with the Social Security Administration to provide social security coverage for certain state and local governmental employees. </w:t>
      </w:r>
      <w:r>
        <w:rPr>
          <w:rFonts w:ascii="Verdana" w:hAnsi="Verdana"/>
          <w:sz w:val="18"/>
          <w:szCs w:val="18"/>
        </w:rPr>
        <w:br/>
      </w:r>
      <w:r>
        <w:rPr>
          <w:rFonts w:ascii="Verdana" w:hAnsi="Verdana"/>
          <w:sz w:val="18"/>
          <w:szCs w:val="18"/>
        </w:rPr>
        <w:br/>
      </w:r>
      <w:r>
        <w:rPr>
          <w:rStyle w:val="Strong"/>
          <w:rFonts w:ascii="Verdana" w:hAnsi="Verdana"/>
          <w:sz w:val="18"/>
          <w:szCs w:val="18"/>
        </w:rPr>
        <w:t>The 1954 Amendments to the Social Security Act (Section 218):</w:t>
      </w:r>
      <w:r>
        <w:rPr>
          <w:rFonts w:ascii="Verdana" w:hAnsi="Verdana"/>
          <w:sz w:val="18"/>
          <w:szCs w:val="18"/>
        </w:rPr>
        <w:t xml:space="preserve"> </w:t>
      </w:r>
    </w:p>
    <w:p w:rsidR="00205187" w:rsidRDefault="00205187" w:rsidP="00205187">
      <w:pPr>
        <w:numPr>
          <w:ilvl w:val="0"/>
          <w:numId w:val="1"/>
        </w:numPr>
        <w:shd w:val="clear" w:color="auto" w:fill="F2F2E6"/>
        <w:spacing w:before="100" w:beforeAutospacing="1" w:after="100" w:afterAutospacing="1"/>
        <w:ind w:left="1170"/>
        <w:rPr>
          <w:rFonts w:ascii="Verdana" w:hAnsi="Verdana"/>
          <w:sz w:val="18"/>
          <w:szCs w:val="18"/>
        </w:rPr>
      </w:pPr>
      <w:r>
        <w:rPr>
          <w:rFonts w:ascii="Verdana" w:hAnsi="Verdana"/>
          <w:sz w:val="18"/>
          <w:szCs w:val="18"/>
        </w:rPr>
        <w:t xml:space="preserve">Permitted coverage of State and local government employees who were in positions already covered by a State and local pension plan, provided a majority of all employees who were members of the pension plan agreed, in a referendum, to such coverage. </w:t>
      </w:r>
    </w:p>
    <w:p w:rsidR="00205187" w:rsidRDefault="00205187" w:rsidP="00205187">
      <w:pPr>
        <w:numPr>
          <w:ilvl w:val="0"/>
          <w:numId w:val="1"/>
        </w:numPr>
        <w:shd w:val="clear" w:color="auto" w:fill="F2F2E6"/>
        <w:spacing w:before="100" w:beforeAutospacing="1" w:after="100" w:afterAutospacing="1"/>
        <w:ind w:left="1170"/>
        <w:rPr>
          <w:rFonts w:ascii="Verdana" w:hAnsi="Verdana"/>
          <w:sz w:val="18"/>
          <w:szCs w:val="18"/>
        </w:rPr>
      </w:pPr>
      <w:r>
        <w:rPr>
          <w:rFonts w:ascii="Verdana" w:hAnsi="Verdana"/>
          <w:sz w:val="18"/>
          <w:szCs w:val="18"/>
        </w:rPr>
        <w:t xml:space="preserve">Permitted coverage of ineligibles, in a modification which does not cover the retirement system coverage group, if direct reference is made to them in a proper modification submitted for that purpose. </w:t>
      </w:r>
    </w:p>
    <w:p w:rsidR="00205187" w:rsidRDefault="00205187" w:rsidP="00205187">
      <w:pPr>
        <w:shd w:val="clear" w:color="auto" w:fill="F2F2E6"/>
        <w:rPr>
          <w:rFonts w:ascii="Verdana" w:hAnsi="Verdana"/>
          <w:sz w:val="18"/>
          <w:szCs w:val="18"/>
        </w:rPr>
      </w:pPr>
      <w:r>
        <w:rPr>
          <w:rStyle w:val="Strong"/>
          <w:rFonts w:ascii="Verdana" w:hAnsi="Verdana"/>
          <w:sz w:val="18"/>
          <w:szCs w:val="18"/>
        </w:rPr>
        <w:t>Modification No. 515</w:t>
      </w:r>
      <w:r>
        <w:rPr>
          <w:rFonts w:ascii="Verdana" w:hAnsi="Verdana"/>
          <w:sz w:val="18"/>
          <w:szCs w:val="18"/>
        </w:rPr>
        <w:t xml:space="preserve"> covered the Board of Trustees for State Colleges and Universities (now the University of Louisiana System) effective May 1, 1975, with the exclusions of elective positions, part-time positions, fee basis, agricultural labor, or students. This modification covered services by the Teachers Retirement System of Louisiana and the State Employees Retirement System but who are ineligible to be members of such retirement systems. </w:t>
      </w:r>
    </w:p>
    <w:p w:rsidR="00205187" w:rsidRDefault="00205187" w:rsidP="00205187">
      <w:pPr>
        <w:pStyle w:val="NormalWeb"/>
        <w:shd w:val="clear" w:color="auto" w:fill="F2F2E6"/>
        <w:rPr>
          <w:rFonts w:ascii="Verdana" w:hAnsi="Verdana"/>
          <w:sz w:val="18"/>
          <w:szCs w:val="18"/>
        </w:rPr>
      </w:pPr>
      <w:r>
        <w:rPr>
          <w:rStyle w:val="Strong"/>
          <w:rFonts w:ascii="Verdana" w:hAnsi="Verdana"/>
          <w:sz w:val="18"/>
          <w:szCs w:val="18"/>
        </w:rPr>
        <w:t>Medicare - Mandatory Coverage:</w:t>
      </w:r>
      <w:r>
        <w:rPr>
          <w:rFonts w:ascii="Verdana" w:hAnsi="Verdana"/>
          <w:sz w:val="18"/>
          <w:szCs w:val="18"/>
        </w:rPr>
        <w:t xml:space="preserve"> </w:t>
      </w:r>
      <w:r>
        <w:rPr>
          <w:rFonts w:ascii="Verdana" w:hAnsi="Verdana"/>
          <w:sz w:val="18"/>
          <w:szCs w:val="18"/>
        </w:rPr>
        <w:br/>
        <w:t>State and local government employees hired after March 31, 1986 are subject to mandatory coverage of the Medicare-only portion of the FICA tax, if not already covered for full social security under a Section 218 agreement. Employees hired before April 1, 1986 have Medicare coverage only if there was a break in employment and employee was rehired after March 1, 1986.</w:t>
      </w:r>
    </w:p>
    <w:p w:rsidR="00205187" w:rsidRDefault="00205187" w:rsidP="00205187">
      <w:pPr>
        <w:pStyle w:val="NormalWeb"/>
        <w:shd w:val="clear" w:color="auto" w:fill="F2F2E6"/>
        <w:rPr>
          <w:rFonts w:ascii="Verdana" w:hAnsi="Verdana"/>
          <w:sz w:val="18"/>
          <w:szCs w:val="18"/>
        </w:rPr>
      </w:pPr>
      <w:r>
        <w:rPr>
          <w:rStyle w:val="Strong"/>
          <w:rFonts w:ascii="Verdana" w:hAnsi="Verdana"/>
          <w:sz w:val="18"/>
          <w:szCs w:val="18"/>
        </w:rPr>
        <w:t>Social Security - Mandatory Coverage:</w:t>
      </w:r>
      <w:r>
        <w:rPr>
          <w:rFonts w:ascii="Verdana" w:hAnsi="Verdana"/>
          <w:sz w:val="18"/>
          <w:szCs w:val="18"/>
        </w:rPr>
        <w:t xml:space="preserve"> </w:t>
      </w:r>
      <w:r>
        <w:rPr>
          <w:rFonts w:ascii="Verdana" w:hAnsi="Verdana"/>
          <w:sz w:val="18"/>
          <w:szCs w:val="18"/>
        </w:rPr>
        <w:br/>
        <w:t>Beginning July 2, 1991, most services performed for State and local government employees by individuals who are not members of the employer's qualified retirement system are manditorily covered by Social Security and Medicare, if not already covered under a Section 218 agreement.</w:t>
      </w:r>
    </w:p>
    <w:p w:rsidR="00205187" w:rsidRDefault="00205187" w:rsidP="00205187">
      <w:pPr>
        <w:pStyle w:val="NormalWeb"/>
        <w:shd w:val="clear" w:color="auto" w:fill="F2F2E6"/>
        <w:rPr>
          <w:rFonts w:ascii="Verdana" w:hAnsi="Verdana"/>
          <w:sz w:val="18"/>
          <w:szCs w:val="18"/>
        </w:rPr>
      </w:pPr>
      <w:r>
        <w:rPr>
          <w:rStyle w:val="Strong"/>
          <w:rFonts w:ascii="Verdana" w:hAnsi="Verdana"/>
          <w:sz w:val="18"/>
          <w:szCs w:val="18"/>
        </w:rPr>
        <w:t>State of Louisiana Employers with Section 218 Coverage may have Employees in the following Categories:</w:t>
      </w:r>
      <w:r>
        <w:rPr>
          <w:rFonts w:ascii="Verdana" w:hAnsi="Verdana"/>
          <w:sz w:val="18"/>
          <w:szCs w:val="18"/>
        </w:rPr>
        <w:t xml:space="preserve"> </w:t>
      </w:r>
    </w:p>
    <w:p w:rsidR="00205187" w:rsidRDefault="00205187" w:rsidP="00205187">
      <w:pPr>
        <w:numPr>
          <w:ilvl w:val="0"/>
          <w:numId w:val="2"/>
        </w:numPr>
        <w:shd w:val="clear" w:color="auto" w:fill="F2F2E6"/>
        <w:spacing w:before="100" w:beforeAutospacing="1" w:after="100" w:afterAutospacing="1"/>
        <w:ind w:left="1170"/>
        <w:rPr>
          <w:rFonts w:ascii="Verdana" w:hAnsi="Verdana"/>
          <w:sz w:val="18"/>
          <w:szCs w:val="18"/>
        </w:rPr>
      </w:pPr>
      <w:r>
        <w:rPr>
          <w:rStyle w:val="Strong"/>
          <w:rFonts w:ascii="Verdana" w:hAnsi="Verdana"/>
          <w:sz w:val="18"/>
          <w:szCs w:val="18"/>
        </w:rPr>
        <w:t>Social Security and Medicare</w:t>
      </w:r>
      <w:r>
        <w:rPr>
          <w:rFonts w:ascii="Verdana" w:hAnsi="Verdana"/>
          <w:sz w:val="18"/>
          <w:szCs w:val="18"/>
        </w:rPr>
        <w:t xml:space="preserve"> by virtue of a Section 218 Agreement. </w:t>
      </w:r>
    </w:p>
    <w:p w:rsidR="00205187" w:rsidRDefault="00205187" w:rsidP="00205187">
      <w:pPr>
        <w:numPr>
          <w:ilvl w:val="0"/>
          <w:numId w:val="2"/>
        </w:numPr>
        <w:shd w:val="clear" w:color="auto" w:fill="F2F2E6"/>
        <w:spacing w:before="100" w:beforeAutospacing="1" w:after="100" w:afterAutospacing="1"/>
        <w:ind w:left="1170"/>
        <w:rPr>
          <w:rFonts w:ascii="Verdana" w:hAnsi="Verdana"/>
          <w:sz w:val="18"/>
          <w:szCs w:val="18"/>
        </w:rPr>
      </w:pPr>
      <w:r>
        <w:rPr>
          <w:rStyle w:val="Strong"/>
          <w:rFonts w:ascii="Verdana" w:hAnsi="Verdana"/>
          <w:sz w:val="18"/>
          <w:szCs w:val="18"/>
        </w:rPr>
        <w:t>Social Security and Medicare</w:t>
      </w:r>
      <w:r>
        <w:rPr>
          <w:rFonts w:ascii="Verdana" w:hAnsi="Verdana"/>
          <w:sz w:val="18"/>
          <w:szCs w:val="18"/>
        </w:rPr>
        <w:t xml:space="preserve"> by virtue of not having or participating in a retirement system, that meets the qualifications in the IRS Regulations implementing mandatory Social Security. </w:t>
      </w:r>
    </w:p>
    <w:p w:rsidR="00205187" w:rsidRDefault="00205187" w:rsidP="00205187">
      <w:pPr>
        <w:numPr>
          <w:ilvl w:val="0"/>
          <w:numId w:val="2"/>
        </w:numPr>
        <w:shd w:val="clear" w:color="auto" w:fill="F2F2E6"/>
        <w:spacing w:before="100" w:beforeAutospacing="1" w:after="100" w:afterAutospacing="1"/>
        <w:ind w:left="1170"/>
        <w:rPr>
          <w:rFonts w:ascii="Verdana" w:hAnsi="Verdana"/>
          <w:sz w:val="18"/>
          <w:szCs w:val="18"/>
        </w:rPr>
      </w:pPr>
      <w:r>
        <w:rPr>
          <w:rStyle w:val="Strong"/>
          <w:rFonts w:ascii="Verdana" w:hAnsi="Verdana"/>
          <w:sz w:val="18"/>
          <w:szCs w:val="18"/>
        </w:rPr>
        <w:t>No Social Security or Medicare</w:t>
      </w:r>
      <w:r>
        <w:rPr>
          <w:rFonts w:ascii="Verdana" w:hAnsi="Verdana"/>
          <w:sz w:val="18"/>
          <w:szCs w:val="18"/>
        </w:rPr>
        <w:t xml:space="preserve"> because the employee is a member of a qualified retirement plan and was hired before April 1, 1986. </w:t>
      </w:r>
    </w:p>
    <w:p w:rsidR="00205187" w:rsidRDefault="00205187" w:rsidP="00205187">
      <w:pPr>
        <w:numPr>
          <w:ilvl w:val="0"/>
          <w:numId w:val="2"/>
        </w:numPr>
        <w:shd w:val="clear" w:color="auto" w:fill="F2F2E6"/>
        <w:spacing w:before="100" w:beforeAutospacing="1" w:after="100" w:afterAutospacing="1"/>
        <w:ind w:left="1170"/>
        <w:rPr>
          <w:rFonts w:ascii="Verdana" w:hAnsi="Verdana"/>
          <w:sz w:val="18"/>
          <w:szCs w:val="18"/>
        </w:rPr>
      </w:pPr>
      <w:r>
        <w:rPr>
          <w:rStyle w:val="Strong"/>
          <w:rFonts w:ascii="Verdana" w:hAnsi="Verdana"/>
          <w:sz w:val="18"/>
          <w:szCs w:val="18"/>
        </w:rPr>
        <w:t>Retirement and Medicare</w:t>
      </w:r>
      <w:r>
        <w:rPr>
          <w:rFonts w:ascii="Verdana" w:hAnsi="Verdana"/>
          <w:sz w:val="18"/>
          <w:szCs w:val="18"/>
        </w:rPr>
        <w:t xml:space="preserve"> because the employee was hired or rehired after March 31, 1986. </w:t>
      </w:r>
    </w:p>
    <w:p w:rsidR="00205187" w:rsidRDefault="00205187" w:rsidP="00205187">
      <w:pPr>
        <w:shd w:val="clear" w:color="auto" w:fill="F2F2E6"/>
        <w:rPr>
          <w:rFonts w:ascii="Verdana" w:hAnsi="Verdana"/>
          <w:sz w:val="18"/>
          <w:szCs w:val="18"/>
        </w:rPr>
      </w:pPr>
      <w:r>
        <w:rPr>
          <w:rStyle w:val="Strong"/>
          <w:rFonts w:ascii="Verdana" w:hAnsi="Verdana"/>
          <w:sz w:val="18"/>
          <w:szCs w:val="18"/>
        </w:rPr>
        <w:t>There are exceptions to every rule!</w:t>
      </w:r>
      <w:r>
        <w:rPr>
          <w:rFonts w:ascii="Verdana" w:hAnsi="Verdana"/>
          <w:sz w:val="18"/>
          <w:szCs w:val="18"/>
        </w:rPr>
        <w:t xml:space="preserve"> Example, students are not subject to Social Security or Medicare for services performed in the employ of a school, college or university by a student </w:t>
      </w:r>
    </w:p>
    <w:p w:rsidR="00205187" w:rsidRDefault="00205187" w:rsidP="00205187">
      <w:pPr>
        <w:shd w:val="clear" w:color="auto" w:fill="F2F2E6"/>
        <w:rPr>
          <w:rFonts w:ascii="Verdana" w:hAnsi="Verdana"/>
          <w:sz w:val="18"/>
          <w:szCs w:val="18"/>
        </w:rPr>
      </w:pPr>
      <w:r>
        <w:rPr>
          <w:rFonts w:ascii="Verdana" w:hAnsi="Verdana"/>
          <w:sz w:val="18"/>
          <w:szCs w:val="18"/>
        </w:rPr>
        <w:t xml:space="preserve">who is enrolled and regularly attending classes at such institution. </w:t>
      </w:r>
    </w:p>
    <w:p w:rsidR="00205187" w:rsidRDefault="00205187" w:rsidP="00205187">
      <w:pPr>
        <w:shd w:val="clear" w:color="auto" w:fill="F2F2E6"/>
        <w:rPr>
          <w:rFonts w:ascii="Verdana" w:hAnsi="Verdana"/>
          <w:sz w:val="18"/>
          <w:szCs w:val="18"/>
        </w:rPr>
      </w:pPr>
    </w:p>
    <w:p w:rsidR="00205187" w:rsidRDefault="00205187" w:rsidP="00205187">
      <w:pPr>
        <w:shd w:val="clear" w:color="auto" w:fill="F2F2E6"/>
        <w:rPr>
          <w:rFonts w:ascii="Verdana" w:hAnsi="Verdana"/>
          <w:sz w:val="18"/>
          <w:szCs w:val="18"/>
        </w:rPr>
      </w:pPr>
      <w:r>
        <w:rPr>
          <w:rFonts w:ascii="Verdana" w:hAnsi="Verdana"/>
          <w:sz w:val="18"/>
          <w:szCs w:val="18"/>
        </w:rPr>
        <w:br/>
      </w:r>
      <w:r>
        <w:rPr>
          <w:rFonts w:ascii="Verdana" w:hAnsi="Verdana"/>
          <w:sz w:val="18"/>
          <w:szCs w:val="18"/>
        </w:rPr>
        <w:br/>
        <w:t xml:space="preserve">Before accepting a position covered by one of the public retirement systems in the State of Louisiana, consideration should be given to the effect this may have on your eligibility for future Social Security Benefits. For more information, contact you local Social Security Office or click here to visit their home page at </w:t>
      </w:r>
      <w:hyperlink r:id="rId8" w:history="1">
        <w:r>
          <w:rPr>
            <w:rFonts w:ascii="Verdana" w:hAnsi="Verdana"/>
            <w:color w:val="006699"/>
            <w:sz w:val="18"/>
            <w:szCs w:val="18"/>
          </w:rPr>
          <w:t>http://www.ssa.gov</w:t>
        </w:r>
      </w:hyperlink>
      <w:r>
        <w:rPr>
          <w:rFonts w:ascii="Verdana" w:hAnsi="Verdana"/>
          <w:sz w:val="18"/>
          <w:szCs w:val="18"/>
        </w:rPr>
        <w:t xml:space="preserve">. </w:t>
      </w:r>
      <w:r>
        <w:rPr>
          <w:rFonts w:ascii="Verdana" w:hAnsi="Verdana"/>
          <w:sz w:val="18"/>
          <w:szCs w:val="18"/>
        </w:rPr>
        <w:br/>
      </w:r>
      <w:r>
        <w:rPr>
          <w:rFonts w:ascii="Verdana" w:hAnsi="Verdana"/>
          <w:sz w:val="18"/>
          <w:szCs w:val="18"/>
        </w:rPr>
        <w:br/>
        <w:t xml:space="preserve">For more information on Medicare, click here to visit their home page at </w:t>
      </w:r>
      <w:hyperlink r:id="rId9" w:history="1">
        <w:r>
          <w:rPr>
            <w:rFonts w:ascii="Verdana" w:hAnsi="Verdana"/>
            <w:color w:val="006699"/>
            <w:sz w:val="18"/>
            <w:szCs w:val="18"/>
          </w:rPr>
          <w:t>http://www.ssa.gov/mediinfo.htm</w:t>
        </w:r>
      </w:hyperlink>
      <w:r>
        <w:rPr>
          <w:rFonts w:ascii="Verdana" w:hAnsi="Verdana"/>
          <w:sz w:val="18"/>
          <w:szCs w:val="18"/>
        </w:rPr>
        <w:t xml:space="preserve">. </w:t>
      </w:r>
      <w:r>
        <w:rPr>
          <w:rFonts w:ascii="Verdana" w:hAnsi="Verdana"/>
          <w:sz w:val="18"/>
          <w:szCs w:val="18"/>
        </w:rPr>
        <w:br/>
      </w:r>
      <w:r>
        <w:rPr>
          <w:rFonts w:ascii="Verdana" w:hAnsi="Verdana"/>
          <w:sz w:val="18"/>
          <w:szCs w:val="18"/>
        </w:rPr>
        <w:br/>
      </w:r>
      <w:r>
        <w:rPr>
          <w:rFonts w:ascii="Verdana" w:hAnsi="Verdana"/>
          <w:sz w:val="18"/>
          <w:szCs w:val="18"/>
        </w:rPr>
        <w:br/>
        <w:t xml:space="preserve">Two Provisions that affect Social Security Retirement that you may need to be aware of are: </w:t>
      </w:r>
    </w:p>
    <w:p w:rsidR="00205187" w:rsidRDefault="00205187" w:rsidP="00205187">
      <w:pPr>
        <w:numPr>
          <w:ilvl w:val="0"/>
          <w:numId w:val="3"/>
        </w:numPr>
        <w:shd w:val="clear" w:color="auto" w:fill="F2F2E6"/>
        <w:spacing w:before="100" w:beforeAutospacing="1" w:after="100" w:afterAutospacing="1"/>
        <w:ind w:left="1170"/>
        <w:rPr>
          <w:rFonts w:ascii="Verdana" w:hAnsi="Verdana"/>
          <w:sz w:val="18"/>
          <w:szCs w:val="18"/>
        </w:rPr>
      </w:pPr>
      <w:hyperlink r:id="rId10" w:history="1">
        <w:r>
          <w:rPr>
            <w:rFonts w:ascii="Verdana" w:hAnsi="Verdana"/>
            <w:color w:val="006699"/>
            <w:sz w:val="18"/>
            <w:szCs w:val="18"/>
          </w:rPr>
          <w:t>The Windfall Elimination Provision</w:t>
        </w:r>
      </w:hyperlink>
      <w:r>
        <w:rPr>
          <w:rFonts w:ascii="Verdana" w:hAnsi="Verdana"/>
          <w:sz w:val="18"/>
          <w:szCs w:val="18"/>
        </w:rPr>
        <w:t xml:space="preserve"> </w:t>
      </w:r>
    </w:p>
    <w:p w:rsidR="00205187" w:rsidRDefault="00205187" w:rsidP="00205187">
      <w:pPr>
        <w:numPr>
          <w:ilvl w:val="0"/>
          <w:numId w:val="3"/>
        </w:numPr>
        <w:shd w:val="clear" w:color="auto" w:fill="F2F2E6"/>
        <w:spacing w:before="100" w:beforeAutospacing="1" w:after="100" w:afterAutospacing="1"/>
        <w:ind w:left="1170"/>
        <w:rPr>
          <w:rFonts w:ascii="Verdana" w:hAnsi="Verdana"/>
          <w:sz w:val="18"/>
          <w:szCs w:val="18"/>
        </w:rPr>
      </w:pPr>
      <w:hyperlink r:id="rId11" w:history="1">
        <w:r>
          <w:rPr>
            <w:rFonts w:ascii="Verdana" w:hAnsi="Verdana"/>
            <w:color w:val="006699"/>
            <w:sz w:val="18"/>
            <w:szCs w:val="18"/>
          </w:rPr>
          <w:t>Government Pension Offset</w:t>
        </w:r>
      </w:hyperlink>
      <w:r>
        <w:rPr>
          <w:rFonts w:ascii="Verdana" w:hAnsi="Verdana"/>
          <w:sz w:val="18"/>
          <w:szCs w:val="18"/>
        </w:rPr>
        <w:t xml:space="preserve"> </w:t>
      </w:r>
    </w:p>
    <w:p w:rsidR="00205187" w:rsidRDefault="00205187" w:rsidP="00205187">
      <w:pPr>
        <w:numPr>
          <w:ilvl w:val="0"/>
          <w:numId w:val="3"/>
        </w:numPr>
        <w:shd w:val="clear" w:color="auto" w:fill="F2F2E6"/>
        <w:spacing w:before="100" w:beforeAutospacing="1" w:after="100" w:afterAutospacing="1"/>
        <w:ind w:left="1170"/>
        <w:rPr>
          <w:rFonts w:ascii="Verdana" w:hAnsi="Verdana"/>
          <w:sz w:val="18"/>
          <w:szCs w:val="18"/>
        </w:rPr>
      </w:pPr>
      <w:hyperlink r:id="rId12" w:history="1">
        <w:r>
          <w:rPr>
            <w:rFonts w:ascii="Verdana" w:hAnsi="Verdana"/>
            <w:color w:val="006699"/>
            <w:sz w:val="18"/>
            <w:szCs w:val="18"/>
          </w:rPr>
          <w:t>Statement Concerning Your Employment in a Job Not Covered by Social Security</w:t>
        </w:r>
      </w:hyperlink>
      <w:r>
        <w:rPr>
          <w:rFonts w:ascii="Verdana" w:hAnsi="Verdana"/>
          <w:sz w:val="18"/>
          <w:szCs w:val="18"/>
        </w:rPr>
        <w:t xml:space="preserve"> </w:t>
      </w:r>
    </w:p>
    <w:p w:rsidR="00205187" w:rsidRDefault="00205187" w:rsidP="00205187">
      <w:pPr>
        <w:shd w:val="clear" w:color="auto" w:fill="F2F2E6"/>
        <w:rPr>
          <w:rFonts w:ascii="Verdana" w:hAnsi="Verdana"/>
          <w:sz w:val="18"/>
          <w:szCs w:val="18"/>
        </w:rPr>
      </w:pPr>
      <w:r>
        <w:rPr>
          <w:rFonts w:ascii="Verdana" w:hAnsi="Verdana"/>
          <w:sz w:val="18"/>
          <w:szCs w:val="18"/>
        </w:rPr>
        <w:br/>
      </w:r>
    </w:p>
    <w:p w:rsidR="00AC4A45" w:rsidRDefault="00AC4A45" w:rsidP="00AC4A45">
      <w:pPr>
        <w:jc w:val="both"/>
      </w:pPr>
    </w:p>
    <w:p w:rsidR="000B2F44" w:rsidRDefault="000B2F44" w:rsidP="00BE6F4B">
      <w:pPr>
        <w:rPr>
          <w:b/>
        </w:rPr>
      </w:pPr>
    </w:p>
    <w:p w:rsidR="000B2F44" w:rsidRDefault="000B2F44" w:rsidP="00BE6F4B">
      <w:pPr>
        <w:rPr>
          <w:b/>
        </w:rPr>
      </w:pPr>
      <w:r>
        <w:rPr>
          <w:b/>
        </w:rPr>
        <w:tab/>
      </w:r>
      <w:r>
        <w:rPr>
          <w:b/>
        </w:rPr>
        <w:tab/>
      </w:r>
    </w:p>
    <w:sectPr w:rsidR="000B2F44" w:rsidSect="009D298E">
      <w:footerReference w:type="default" r:id="rId13"/>
      <w:pgSz w:w="12240" w:h="15840"/>
      <w:pgMar w:top="360" w:right="1800" w:bottom="1440" w:left="180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CCD" w:rsidRDefault="00246CCD">
      <w:r>
        <w:separator/>
      </w:r>
    </w:p>
  </w:endnote>
  <w:endnote w:type="continuationSeparator" w:id="0">
    <w:p w:rsidR="00246CCD" w:rsidRDefault="00246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8E" w:rsidRDefault="009D298E" w:rsidP="009D298E">
    <w:pPr>
      <w:pStyle w:val="Footer"/>
      <w:jc w:val="center"/>
      <w:rPr>
        <w:sz w:val="20"/>
        <w:szCs w:val="20"/>
      </w:rPr>
    </w:pPr>
    <w:r>
      <w:rPr>
        <w:sz w:val="20"/>
        <w:szCs w:val="20"/>
      </w:rPr>
      <w:t xml:space="preserve">GSU </w:t>
    </w:r>
    <w:smartTag w:uri="urn:schemas-microsoft-com:office:smarttags" w:element="address">
      <w:smartTag w:uri="urn:schemas-microsoft-com:office:smarttags" w:element="Street">
        <w:r>
          <w:rPr>
            <w:sz w:val="20"/>
            <w:szCs w:val="20"/>
          </w:rPr>
          <w:t>Box</w:t>
        </w:r>
      </w:smartTag>
      <w:r>
        <w:rPr>
          <w:sz w:val="20"/>
          <w:szCs w:val="20"/>
        </w:rPr>
        <w:t xml:space="preserve"> 4261</w:t>
      </w:r>
    </w:smartTag>
    <w:r w:rsidRPr="00852E5E">
      <w:rPr>
        <w:sz w:val="20"/>
        <w:szCs w:val="20"/>
      </w:rPr>
      <w:t xml:space="preserve">. </w:t>
    </w:r>
    <w:smartTag w:uri="urn:schemas-microsoft-com:office:smarttags" w:element="place">
      <w:smartTag w:uri="urn:schemas-microsoft-com:office:smarttags" w:element="City">
        <w:r w:rsidRPr="00852E5E">
          <w:rPr>
            <w:sz w:val="20"/>
            <w:szCs w:val="20"/>
          </w:rPr>
          <w:t>Grambling</w:t>
        </w:r>
      </w:smartTag>
      <w:r w:rsidRPr="00852E5E">
        <w:rPr>
          <w:sz w:val="20"/>
          <w:szCs w:val="20"/>
        </w:rPr>
        <w:t xml:space="preserve">, </w:t>
      </w:r>
      <w:smartTag w:uri="urn:schemas-microsoft-com:office:smarttags" w:element="State">
        <w:r w:rsidRPr="00852E5E">
          <w:rPr>
            <w:sz w:val="20"/>
            <w:szCs w:val="20"/>
          </w:rPr>
          <w:t>LA</w:t>
        </w:r>
      </w:smartTag>
      <w:r w:rsidRPr="00852E5E">
        <w:rPr>
          <w:sz w:val="20"/>
          <w:szCs w:val="20"/>
        </w:rPr>
        <w:t xml:space="preserve">  </w:t>
      </w:r>
      <w:smartTag w:uri="urn:schemas-microsoft-com:office:smarttags" w:element="PostalCode">
        <w:r w:rsidRPr="00852E5E">
          <w:rPr>
            <w:sz w:val="20"/>
            <w:szCs w:val="20"/>
          </w:rPr>
          <w:t>71245</w:t>
        </w:r>
      </w:smartTag>
    </w:smartTag>
  </w:p>
  <w:p w:rsidR="009D298E" w:rsidRDefault="009D298E" w:rsidP="009D298E">
    <w:pPr>
      <w:pStyle w:val="Footer"/>
      <w:jc w:val="center"/>
      <w:rPr>
        <w:sz w:val="20"/>
        <w:szCs w:val="20"/>
      </w:rPr>
    </w:pPr>
    <w:r>
      <w:rPr>
        <w:sz w:val="20"/>
        <w:szCs w:val="20"/>
      </w:rPr>
      <w:t xml:space="preserve">A Member of the </w:t>
    </w:r>
    <w:smartTag w:uri="urn:schemas-microsoft-com:office:smarttags" w:element="place">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Louisiana</w:t>
        </w:r>
      </w:smartTag>
    </w:smartTag>
    <w:r>
      <w:rPr>
        <w:sz w:val="20"/>
        <w:szCs w:val="20"/>
      </w:rPr>
      <w:t xml:space="preserve"> System </w:t>
    </w:r>
  </w:p>
  <w:p w:rsidR="009D298E" w:rsidRPr="00852E5E" w:rsidRDefault="009D298E" w:rsidP="009D298E">
    <w:pPr>
      <w:pStyle w:val="Footer"/>
      <w:jc w:val="center"/>
      <w:rPr>
        <w:sz w:val="20"/>
        <w:szCs w:val="20"/>
      </w:rPr>
    </w:pPr>
    <w:r>
      <w:rPr>
        <w:sz w:val="20"/>
        <w:szCs w:val="20"/>
      </w:rPr>
      <w:t>An Equal Opportunity Employer and Educator with Facilities that are Accessible to the Disabled</w:t>
    </w:r>
  </w:p>
  <w:p w:rsidR="009D298E" w:rsidRDefault="009D298E" w:rsidP="009D298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CCD" w:rsidRDefault="00246CCD">
      <w:r>
        <w:separator/>
      </w:r>
    </w:p>
  </w:footnote>
  <w:footnote w:type="continuationSeparator" w:id="0">
    <w:p w:rsidR="00246CCD" w:rsidRDefault="00246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B0A3D"/>
    <w:multiLevelType w:val="multilevel"/>
    <w:tmpl w:val="EE4C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10D89"/>
    <w:multiLevelType w:val="multilevel"/>
    <w:tmpl w:val="D5C4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34497E"/>
    <w:multiLevelType w:val="multilevel"/>
    <w:tmpl w:val="31B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C4A45"/>
    <w:rsid w:val="000324CE"/>
    <w:rsid w:val="000B2F44"/>
    <w:rsid w:val="00205187"/>
    <w:rsid w:val="00246CCD"/>
    <w:rsid w:val="00293C9E"/>
    <w:rsid w:val="00394EBF"/>
    <w:rsid w:val="004F05A4"/>
    <w:rsid w:val="005F53BF"/>
    <w:rsid w:val="0071032D"/>
    <w:rsid w:val="007D6E32"/>
    <w:rsid w:val="008B7F6C"/>
    <w:rsid w:val="008F6AB0"/>
    <w:rsid w:val="009847B1"/>
    <w:rsid w:val="009D298E"/>
    <w:rsid w:val="00A04C7F"/>
    <w:rsid w:val="00A22140"/>
    <w:rsid w:val="00AC4A45"/>
    <w:rsid w:val="00BE6F4B"/>
    <w:rsid w:val="00BF3AAD"/>
    <w:rsid w:val="00C54C39"/>
    <w:rsid w:val="00D1639C"/>
    <w:rsid w:val="00EB3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4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4A45"/>
    <w:pPr>
      <w:tabs>
        <w:tab w:val="center" w:pos="4320"/>
        <w:tab w:val="right" w:pos="8640"/>
      </w:tabs>
    </w:pPr>
  </w:style>
  <w:style w:type="character" w:customStyle="1" w:styleId="FooterChar">
    <w:name w:val="Footer Char"/>
    <w:basedOn w:val="DefaultParagraphFont"/>
    <w:link w:val="Footer"/>
    <w:rsid w:val="00AC4A4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4A45"/>
    <w:rPr>
      <w:color w:val="0000FF"/>
      <w:u w:val="single"/>
    </w:rPr>
  </w:style>
  <w:style w:type="paragraph" w:styleId="PlainText">
    <w:name w:val="Plain Text"/>
    <w:basedOn w:val="Normal"/>
    <w:link w:val="PlainTextChar"/>
    <w:uiPriority w:val="99"/>
    <w:semiHidden/>
    <w:unhideWhenUsed/>
    <w:rsid w:val="00AC4A45"/>
    <w:rPr>
      <w:rFonts w:ascii="Arial" w:eastAsia="Calibri" w:hAnsi="Arial" w:cs="Arial"/>
    </w:rPr>
  </w:style>
  <w:style w:type="character" w:customStyle="1" w:styleId="PlainTextChar">
    <w:name w:val="Plain Text Char"/>
    <w:basedOn w:val="DefaultParagraphFont"/>
    <w:link w:val="PlainText"/>
    <w:uiPriority w:val="99"/>
    <w:semiHidden/>
    <w:rsid w:val="00AC4A45"/>
    <w:rPr>
      <w:rFonts w:ascii="Arial" w:hAnsi="Arial" w:cs="Arial"/>
      <w:sz w:val="24"/>
      <w:szCs w:val="24"/>
    </w:rPr>
  </w:style>
  <w:style w:type="paragraph" w:styleId="BalloonText">
    <w:name w:val="Balloon Text"/>
    <w:basedOn w:val="Normal"/>
    <w:link w:val="BalloonTextChar"/>
    <w:uiPriority w:val="99"/>
    <w:semiHidden/>
    <w:unhideWhenUsed/>
    <w:rsid w:val="00AC4A45"/>
    <w:rPr>
      <w:rFonts w:ascii="Tahoma" w:hAnsi="Tahoma" w:cs="Tahoma"/>
      <w:sz w:val="16"/>
      <w:szCs w:val="16"/>
    </w:rPr>
  </w:style>
  <w:style w:type="character" w:customStyle="1" w:styleId="BalloonTextChar">
    <w:name w:val="Balloon Text Char"/>
    <w:basedOn w:val="DefaultParagraphFont"/>
    <w:link w:val="BalloonText"/>
    <w:uiPriority w:val="99"/>
    <w:semiHidden/>
    <w:rsid w:val="00AC4A45"/>
    <w:rPr>
      <w:rFonts w:ascii="Tahoma" w:eastAsia="Times New Roman" w:hAnsi="Tahoma" w:cs="Tahoma"/>
      <w:sz w:val="16"/>
      <w:szCs w:val="16"/>
    </w:rPr>
  </w:style>
  <w:style w:type="paragraph" w:styleId="NormalWeb">
    <w:name w:val="Normal (Web)"/>
    <w:basedOn w:val="Normal"/>
    <w:uiPriority w:val="99"/>
    <w:semiHidden/>
    <w:unhideWhenUsed/>
    <w:rsid w:val="00205187"/>
    <w:pPr>
      <w:spacing w:before="60" w:after="60"/>
    </w:pPr>
  </w:style>
  <w:style w:type="character" w:styleId="Strong">
    <w:name w:val="Strong"/>
    <w:basedOn w:val="DefaultParagraphFont"/>
    <w:uiPriority w:val="22"/>
    <w:qFormat/>
    <w:rsid w:val="00205187"/>
    <w:rPr>
      <w:b/>
      <w:bCs/>
    </w:rPr>
  </w:style>
</w:styles>
</file>

<file path=word/webSettings.xml><?xml version="1.0" encoding="utf-8"?>
<w:webSettings xmlns:r="http://schemas.openxmlformats.org/officeDocument/2006/relationships" xmlns:w="http://schemas.openxmlformats.org/wordprocessingml/2006/main">
  <w:divs>
    <w:div w:id="1162351022">
      <w:bodyDiv w:val="1"/>
      <w:marLeft w:val="0"/>
      <w:marRight w:val="0"/>
      <w:marTop w:val="0"/>
      <w:marBottom w:val="0"/>
      <w:divBdr>
        <w:top w:val="none" w:sz="0" w:space="0" w:color="auto"/>
        <w:left w:val="none" w:sz="0" w:space="0" w:color="auto"/>
        <w:bottom w:val="none" w:sz="0" w:space="0" w:color="auto"/>
        <w:right w:val="none" w:sz="0" w:space="0" w:color="auto"/>
      </w:divBdr>
    </w:div>
    <w:div w:id="2043552382">
      <w:bodyDiv w:val="1"/>
      <w:marLeft w:val="0"/>
      <w:marRight w:val="0"/>
      <w:marTop w:val="0"/>
      <w:marBottom w:val="0"/>
      <w:divBdr>
        <w:top w:val="none" w:sz="0" w:space="0" w:color="auto"/>
        <w:left w:val="none" w:sz="0" w:space="0" w:color="auto"/>
        <w:bottom w:val="none" w:sz="0" w:space="0" w:color="auto"/>
        <w:right w:val="none" w:sz="0" w:space="0" w:color="auto"/>
      </w:divBdr>
      <w:divsChild>
        <w:div w:id="1537936354">
          <w:marLeft w:val="0"/>
          <w:marRight w:val="0"/>
          <w:marTop w:val="0"/>
          <w:marBottom w:val="0"/>
          <w:divBdr>
            <w:top w:val="none" w:sz="0" w:space="0" w:color="auto"/>
            <w:left w:val="none" w:sz="0" w:space="0" w:color="auto"/>
            <w:bottom w:val="none" w:sz="0" w:space="0" w:color="auto"/>
            <w:right w:val="none" w:sz="0" w:space="0" w:color="auto"/>
          </w:divBdr>
          <w:divsChild>
            <w:div w:id="572550164">
              <w:marLeft w:val="0"/>
              <w:marRight w:val="0"/>
              <w:marTop w:val="0"/>
              <w:marBottom w:val="0"/>
              <w:divBdr>
                <w:top w:val="none" w:sz="0" w:space="0" w:color="auto"/>
                <w:left w:val="none" w:sz="0" w:space="0" w:color="auto"/>
                <w:bottom w:val="none" w:sz="0" w:space="0" w:color="auto"/>
                <w:right w:val="none" w:sz="0" w:space="0" w:color="auto"/>
              </w:divBdr>
              <w:divsChild>
                <w:div w:id="1805929455">
                  <w:marLeft w:val="0"/>
                  <w:marRight w:val="0"/>
                  <w:marTop w:val="0"/>
                  <w:marBottom w:val="0"/>
                  <w:divBdr>
                    <w:top w:val="none" w:sz="0" w:space="0" w:color="auto"/>
                    <w:left w:val="none" w:sz="0" w:space="0" w:color="auto"/>
                    <w:bottom w:val="none" w:sz="0" w:space="0" w:color="auto"/>
                    <w:right w:val="none" w:sz="0" w:space="0" w:color="auto"/>
                  </w:divBdr>
                  <w:divsChild>
                    <w:div w:id="1314263371">
                      <w:marLeft w:val="0"/>
                      <w:marRight w:val="0"/>
                      <w:marTop w:val="0"/>
                      <w:marBottom w:val="0"/>
                      <w:divBdr>
                        <w:top w:val="none" w:sz="0" w:space="0" w:color="auto"/>
                        <w:left w:val="none" w:sz="0" w:space="0" w:color="auto"/>
                        <w:bottom w:val="none" w:sz="0" w:space="0" w:color="auto"/>
                        <w:right w:val="none" w:sz="0" w:space="0" w:color="auto"/>
                      </w:divBdr>
                      <w:divsChild>
                        <w:div w:id="7560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sa.gov/form1945/SSA-194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a.gov/pubs/10007.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sa.gov/pubs/10045.html" TargetMode="External"/><Relationship Id="rId4" Type="http://schemas.openxmlformats.org/officeDocument/2006/relationships/webSettings" Target="webSettings.xml"/><Relationship Id="rId9" Type="http://schemas.openxmlformats.org/officeDocument/2006/relationships/hyperlink" Target="http://www.ssa.gov/mediinfo.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Grambling State University</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bradleym</dc:creator>
  <cp:keywords/>
  <dc:description/>
  <cp:lastModifiedBy>bradleym</cp:lastModifiedBy>
  <cp:revision>2</cp:revision>
  <cp:lastPrinted>2010-02-23T20:24:00Z</cp:lastPrinted>
  <dcterms:created xsi:type="dcterms:W3CDTF">2010-02-23T20:24:00Z</dcterms:created>
  <dcterms:modified xsi:type="dcterms:W3CDTF">2010-02-23T20:24:00Z</dcterms:modified>
</cp:coreProperties>
</file>